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COVERED WAGES</w:t>
      </w:r>
    </w:p>
    <w:p>
      <w:pPr>
        <w:spacing w:before="0" w:after="0"/>
        <w:ind w:left="120"/>
        <w:jc w:val="center"/>
      </w:pPr>
      <w:r>
        <w:rPr>
          <w:rFonts w:ascii="Times New Roman" w:hAnsi="Times New Roman"/>
          <w:b w:val="false"/>
          <w:i w:val="false"/>
          <w:color w:val="000000"/>
          <w:sz w:val="14"/>
        </w:rPr>
        <w:t>[Prior to 6/9/04, see 581—Ch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495—6.1</w:t>
      </w:r>
      <w:r>
        <w:rPr>
          <w:rFonts w:ascii="Times New Roman" w:hAnsi="Times New Roman"/>
          <w:b/>
          <w:i w:val="false"/>
          <w:color w:val="000000"/>
          <w:sz w:val="22"/>
        </w:rPr>
        <w:t xml:space="preserve">(97B) </w:t>
      </w:r>
      <w:r>
        <w:rPr>
          <w:rFonts w:ascii="Times New Roman" w:hAnsi="Times New Roman"/>
          <w:b/>
          <w:i w:val="false"/>
          <w:color w:val="000000"/>
          <w:sz w:val="22"/>
        </w:rPr>
        <w:t xml:space="preserve">IRS requirements. </w:t>
      </w:r>
      <w:r>
        <w:rPr>
          <w:rFonts w:ascii="Times New Roman" w:hAnsi="Times New Roman"/>
          <w:b w:val="false"/>
          <w:i w:val="false"/>
          <w:color w:val="000000"/>
          <w:sz w:val="22"/>
        </w:rPr>
        <w:t xml:space="preserve">Wages as discussed in this chapter shall not exceed the amount permitted for a given year under </w:t>
      </w:r>
      <w:r>
        <w:rPr>
          <w:rFonts w:ascii="Times New Roman" w:hAnsi="Times New Roman"/>
          <w:b w:val="false"/>
          <w:i w:val="false"/>
          <w:color w:val="000000"/>
          <w:sz w:val="22"/>
        </w:rPr>
        <w:t>Sections 401(a)(17)(A) and (B) of the Internal Revenue Code</w:t>
      </w:r>
      <w:r>
        <w:rPr>
          <w:rFonts w:ascii="Times New Roman" w:hAnsi="Times New Roman"/>
          <w:b w:val="false"/>
          <w:i w:val="false"/>
          <w:color w:val="000000"/>
          <w:sz w:val="22"/>
        </w:rPr>
        <w:t>, which are incorporated herein by this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9397B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495—6.2</w:t>
      </w:r>
      <w:r>
        <w:rPr>
          <w:rFonts w:ascii="Times New Roman" w:hAnsi="Times New Roman"/>
          <w:b/>
          <w:i w:val="false"/>
          <w:color w:val="000000"/>
          <w:sz w:val="22"/>
        </w:rPr>
        <w:t xml:space="preserve">(97B) </w:t>
      </w:r>
      <w:r>
        <w:rPr>
          <w:rFonts w:ascii="Times New Roman" w:hAnsi="Times New Roman"/>
          <w:b/>
          <w:i w:val="false"/>
          <w:color w:val="000000"/>
          <w:sz w:val="22"/>
        </w:rPr>
        <w:t xml:space="preserve">Definition of wages. </w:t>
      </w:r>
      <w:r>
        <w:rPr>
          <w:rFonts w:ascii="Times New Roman" w:hAnsi="Times New Roman"/>
          <w:b w:val="false"/>
          <w:i w:val="false"/>
          <w:color w:val="000000"/>
          <w:sz w:val="22"/>
        </w:rPr>
        <w:t>“Wages” means all compensation earned by employees including, except as otherwise provided under this chapter, vacation pay; sick pay; back pay; amounts deducted from the employee’s pay at the employee’s discretion for tax-sheltered annuities, dependent care and cafeteria plans; and the cash value of wage equivalents. This definition applies to these rules, regulations, interpretations, forms and other IPERS publications unless the context otherwise requires.</w:t>
      </w:r>
    </w:p>
    <w:p>
      <w:pPr>
        <w:spacing w:before="0" w:after="0"/>
        <w:ind w:left="120"/>
        <w:jc w:val="both"/>
      </w:pPr>
      <w:r>
        <w:rPr>
          <w:rFonts w:ascii="Times New Roman" w:hAnsi="Times New Roman"/>
          <w:b/>
          <w:i w:val="false"/>
          <w:color w:val="000000"/>
          <w:sz w:val="22"/>
        </w:rPr>
        <w:t>495—6.3</w:t>
      </w:r>
      <w:r>
        <w:rPr>
          <w:rFonts w:ascii="Times New Roman" w:hAnsi="Times New Roman"/>
          <w:b/>
          <w:i w:val="false"/>
          <w:color w:val="000000"/>
          <w:sz w:val="22"/>
        </w:rPr>
        <w:t xml:space="preserve">(97B) </w:t>
      </w:r>
      <w:r>
        <w:rPr>
          <w:rFonts w:ascii="Times New Roman" w:hAnsi="Times New Roman"/>
          <w:b/>
          <w:i w:val="false"/>
          <w:color w:val="000000"/>
          <w:sz w:val="22"/>
        </w:rPr>
        <w:t xml:space="preserve">IPERS coverage for various forms of compensation. </w:t>
      </w:r>
      <w:r>
        <w:rPr>
          <w:rFonts w:ascii="Times New Roman" w:hAnsi="Times New Roman"/>
          <w:b w:val="false"/>
          <w:i w:val="false"/>
          <w:color w:val="000000"/>
          <w:sz w:val="22"/>
        </w:rPr>
        <w:t>The following is a list of various types of compensation and the corresponding IPERS coverage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color w:val="000000"/>
          <w:sz w:val="22"/>
        </w:rPr>
        <w:t xml:space="preserve">Vacation pay or annual leave pay. </w:t>
      </w:r>
      <w:r>
        <w:rPr>
          <w:rFonts w:ascii="Times New Roman" w:hAnsi="Times New Roman"/>
          <w:b w:val="false"/>
          <w:i w:val="false"/>
          <w:color w:val="000000"/>
          <w:sz w:val="22"/>
        </w:rPr>
        <w:t>Vacation pay or annual leave pay means the amount paid to an employee during a period of vacation.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color w:val="000000"/>
          <w:sz w:val="22"/>
        </w:rPr>
        <w:t xml:space="preserve">Sick pay. </w:t>
      </w:r>
      <w:r>
        <w:rPr>
          <w:rFonts w:ascii="Times New Roman" w:hAnsi="Times New Roman"/>
          <w:b w:val="false"/>
          <w:i w:val="false"/>
          <w:color w:val="000000"/>
          <w:sz w:val="22"/>
        </w:rPr>
        <w:t>Sick pay means the amount paid to an employee during a period of sick leave.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w:t>
      </w:r>
      <w:r>
        <w:rPr>
          <w:rFonts w:ascii="Times New Roman" w:hAnsi="Times New Roman"/>
          <w:b w:val="false"/>
          <w:i w:val="false"/>
          <w:color w:val="000000"/>
          <w:sz w:val="22"/>
        </w:rPr>
        <w:t> </w:t>
      </w:r>
      <w:r>
        <w:rPr>
          <w:rFonts w:ascii="Times New Roman" w:hAnsi="Times New Roman"/>
          <w:b w:val="false"/>
          <w:i/>
          <w:color w:val="000000"/>
          <w:sz w:val="22"/>
        </w:rPr>
        <w:t xml:space="preserve">Workers’ compensation payments and other third-party payments. </w:t>
      </w:r>
      <w:r>
        <w:rPr>
          <w:rFonts w:ascii="Times New Roman" w:hAnsi="Times New Roman"/>
          <w:b w:val="false"/>
          <w:i w:val="false"/>
          <w:color w:val="000000"/>
          <w:sz w:val="22"/>
        </w:rPr>
        <w:t>Workers’ compensation payments, unemployment payments, or short-term and long-term disability payments made by an insurance company or third-party payer, such as a trust, are not included as wages. Payments for sick leave which are a continuation of salary payments if paid from the employer’s general assets, regardless of whether the employer labels the payments as sick leave, short-term disability, or long-term disability, are covered wages.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w:t>
      </w:r>
      <w:r>
        <w:rPr>
          <w:rFonts w:ascii="Times New Roman" w:hAnsi="Times New Roman"/>
          <w:b w:val="false"/>
          <w:i w:val="false"/>
          <w:color w:val="000000"/>
          <w:sz w:val="22"/>
        </w:rPr>
        <w:t> </w:t>
      </w:r>
      <w:r>
        <w:rPr>
          <w:rFonts w:ascii="Times New Roman" w:hAnsi="Times New Roman"/>
          <w:b w:val="false"/>
          <w:i/>
          <w:color w:val="000000"/>
          <w:sz w:val="22"/>
        </w:rPr>
        <w:t xml:space="preserve">Compensatory time. </w:t>
      </w:r>
      <w:r>
        <w:rPr>
          <w:rFonts w:ascii="Times New Roman" w:hAnsi="Times New Roman"/>
          <w:b w:val="false"/>
          <w:i w:val="false"/>
          <w:color w:val="000000"/>
          <w:sz w:val="22"/>
        </w:rPr>
        <w:t>Wages include amounts paid for compensatory time taken in lieu of regular work hours or when paid as a lump sum. However, compensatory time paid in a lump sum shall not exceed 240 hours per employee per year or any lesser number of hours set by the employer. Each employer shall determine whether to use the calendar year or a fiscal year other than the calendar year when setting its compensatory time policy. The wages reported to IPERS must reflect the employer’s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w:t>
      </w:r>
      <w:r>
        <w:rPr>
          <w:rFonts w:ascii="Times New Roman" w:hAnsi="Times New Roman"/>
          <w:b w:val="false"/>
          <w:i w:val="false"/>
          <w:color w:val="000000"/>
          <w:sz w:val="22"/>
        </w:rPr>
        <w:t> </w:t>
      </w:r>
      <w:r>
        <w:rPr>
          <w:rFonts w:ascii="Times New Roman" w:hAnsi="Times New Roman"/>
          <w:b w:val="false"/>
          <w:i/>
          <w:color w:val="000000"/>
          <w:sz w:val="22"/>
        </w:rPr>
        <w:t xml:space="preserve">Banked holiday pay. </w:t>
      </w:r>
      <w:r>
        <w:rPr>
          <w:rFonts w:ascii="Times New Roman" w:hAnsi="Times New Roman"/>
          <w:b w:val="false"/>
          <w:i w:val="false"/>
          <w:color w:val="000000"/>
          <w:sz w:val="22"/>
        </w:rPr>
        <w:t xml:space="preserve">If an employer codes banked holiday time as holiday or additional accrued vacation time, the banked holiday pay will be vacation pay under subrule </w:t>
      </w:r>
      <w:hyperlink r:id="rId5">
        <w:r>
          <w:rPr>
            <w:rStyle w:val="Hyperlink"/>
            <w:rFonts w:ascii="Times New Roman" w:hAnsi="Times New Roman"/>
            <w:b w:val="false"/>
            <w:i w:val="false"/>
            <w:color w:val="000000"/>
            <w:sz w:val="22"/>
          </w:rPr>
          <w:t>6.3(1)</w:t>
        </w:r>
      </w:hyperlink>
      <w:r>
        <w:rPr>
          <w:rFonts w:ascii="Times New Roman" w:hAnsi="Times New Roman"/>
          <w:b w:val="false"/>
          <w:i w:val="false"/>
          <w:color w:val="000000"/>
          <w:sz w:val="22"/>
        </w:rPr>
        <w:t xml:space="preserve">. If an employer codes banked holiday time as compensatory time, the banked holiday pay will be combined with compensatory pay and subject to the limits set forth in subrule </w:t>
      </w:r>
      <w:hyperlink r:id="rId6">
        <w:r>
          <w:rPr>
            <w:rStyle w:val="Hyperlink"/>
            <w:rFonts w:ascii="Times New Roman" w:hAnsi="Times New Roman"/>
            <w:b w:val="false"/>
            <w:i w:val="false"/>
            <w:color w:val="000000"/>
            <w:sz w:val="22"/>
          </w:rPr>
          <w:t>6.3(4)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w:t>
      </w:r>
      <w:r>
        <w:rPr>
          <w:rFonts w:ascii="Times New Roman" w:hAnsi="Times New Roman"/>
          <w:b w:val="false"/>
          <w:i w:val="false"/>
          <w:color w:val="000000"/>
          <w:sz w:val="22"/>
        </w:rPr>
        <w:t> </w:t>
      </w:r>
      <w:r>
        <w:rPr>
          <w:rFonts w:ascii="Times New Roman" w:hAnsi="Times New Roman"/>
          <w:b w:val="false"/>
          <w:i/>
          <w:color w:val="000000"/>
          <w:sz w:val="22"/>
        </w:rPr>
        <w:t xml:space="preserve">Special lump sum payments. </w:t>
      </w:r>
      <w:r>
        <w:rPr>
          <w:rFonts w:ascii="Times New Roman" w:hAnsi="Times New Roman"/>
          <w:b w:val="false"/>
          <w:i w:val="false"/>
          <w:color w:val="000000"/>
          <w:sz w:val="22"/>
        </w:rPr>
        <w:t>Wages do not include special lump sum payments made during or at the end of service as a payoff of unused accrued sick leave or of unused accrued vacation. Wages do not include special lump sum payments made during or at the end of service as an incentive to retire early or as payments made upon dismissal, severance, or a special bonus payment intended as an early retirement incentive. Wages do not include: catastrophic leave paid in a lump sum, bonuses, tips, honoraria, or student loan repayment compensation. Exclusion of payments as described in this subrule applies whether the payment is in a lump sum or in installments.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w:t>
      </w:r>
      <w:r>
        <w:rPr>
          <w:rFonts w:ascii="Times New Roman" w:hAnsi="Times New Roman"/>
          <w:b w:val="false"/>
          <w:i w:val="false"/>
          <w:color w:val="000000"/>
          <w:sz w:val="22"/>
        </w:rPr>
        <w:t> </w:t>
      </w:r>
      <w:r>
        <w:rPr>
          <w:rFonts w:ascii="Times New Roman" w:hAnsi="Times New Roman"/>
          <w:b w:val="false"/>
          <w:i/>
          <w:color w:val="000000"/>
          <w:sz w:val="22"/>
        </w:rPr>
        <w:t xml:space="preserve">Covered wage treatment for supplemental 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Payments excluded from covered wages as bonuses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Recruitment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Retention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Payments to members who achieve improvements in their employer’s financial status or performance ratings.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Employee performance incentive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Extraordinary job performance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Payments for the possession, attainment, or maintenance of special skills or professional certifications (does not apply to advancements in a member’s placement in wage or salary schedule, or placement in a higher tier wage or salary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Payments to members made in lieu of merit increases because the members’ wage or salary scales are capped.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Payments similar in substance to those enumerated above without regard to the payments’ titles, tag lines, labels or classifications by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Payments included in covered wages that are not to be treated as bonuses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Payments authorized by statute and used to increase the general level of teacher pay, except as otherwise provided in this subrule (for example, when such moneys are used to pay retention bonuses).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Payments for which additional, or new and different, job duties are required in order to receive the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Payments for employment longevity.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that are otherwise to be treated as covered wages under paragraph </w:t>
      </w:r>
      <w:r>
        <w:rPr>
          <w:rFonts w:ascii="Times New Roman" w:hAnsi="Times New Roman"/>
          <w:b w:val="false"/>
          <w:i/>
          <w:color w:val="000000"/>
          <w:sz w:val="22"/>
        </w:rPr>
        <w:t>“b”</w:t>
      </w:r>
      <w:r>
        <w:rPr>
          <w:rFonts w:ascii="Times New Roman" w:hAnsi="Times New Roman"/>
          <w:b w:val="false"/>
          <w:i w:val="false"/>
          <w:color w:val="000000"/>
          <w:sz w:val="22"/>
        </w:rPr>
        <w:t xml:space="preserve"> shall not be covered if IPERS determines that the payments are made for paragraph </w:t>
      </w:r>
      <w:r>
        <w:rPr>
          <w:rFonts w:ascii="Times New Roman" w:hAnsi="Times New Roman"/>
          <w:b w:val="false"/>
          <w:i/>
          <w:color w:val="000000"/>
          <w:sz w:val="22"/>
        </w:rPr>
        <w:t>“a,”</w:t>
      </w:r>
      <w:r>
        <w:rPr>
          <w:rFonts w:ascii="Times New Roman" w:hAnsi="Times New Roman"/>
          <w:b w:val="false"/>
          <w:i w:val="false"/>
          <w:color w:val="000000"/>
          <w:sz w:val="22"/>
        </w:rPr>
        <w:t xml:space="preserve"> subparagraphs (1) to (8), of this subrule or other subrules, including, but not limited to, recruitment or retention bonuses, retirement incentive and severance payments, reimbursements of business expenses, and payment of allowances.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IPERS shall have the final authority to determine if supplemental payments not described in paragraphs </w:t>
      </w:r>
      <w:r>
        <w:rPr>
          <w:rFonts w:ascii="Times New Roman" w:hAnsi="Times New Roman"/>
          <w:b w:val="false"/>
          <w:i/>
          <w:color w:val="000000"/>
          <w:sz w:val="22"/>
        </w:rPr>
        <w:t>“a,” “b”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should be treated as excluded bonus payments or covered wages. In making its determination, IPERS may consider, but is not limited to, such factors as the supplemental payments’ similarity to payments described in paragraphs </w:t>
      </w:r>
      <w:r>
        <w:rPr>
          <w:rFonts w:ascii="Times New Roman" w:hAnsi="Times New Roman"/>
          <w:b w:val="false"/>
          <w:i/>
          <w:color w:val="000000"/>
          <w:sz w:val="22"/>
        </w:rPr>
        <w:t>“a,” “b”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whether such payments are discretionary with the employer, and whether, on the one hand, the payments are regular and periodic over the working careers of a broad group of individuals or, on the other hand, are short-term, irregular, or ad hoc payments whose primary effect is to spike certain members’ final average salaries.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6.3(8)</w:t>
      </w:r>
      <w:r>
        <w:rPr>
          <w:rFonts w:ascii="Times New Roman" w:hAnsi="Times New Roman"/>
          <w:b w:val="false"/>
          <w:i w:val="false"/>
          <w:color w:val="000000"/>
          <w:sz w:val="22"/>
        </w:rPr>
        <w:t> </w:t>
      </w:r>
      <w:r>
        <w:rPr>
          <w:rFonts w:ascii="Times New Roman" w:hAnsi="Times New Roman"/>
          <w:b w:val="false"/>
          <w:i/>
          <w:color w:val="000000"/>
          <w:sz w:val="22"/>
        </w:rPr>
        <w:t xml:space="preserve">Other special payment arrangements. </w:t>
      </w:r>
      <w:r>
        <w:rPr>
          <w:rFonts w:ascii="Times New Roman" w:hAnsi="Times New Roman"/>
          <w:b w:val="false"/>
          <w:i w:val="false"/>
          <w:color w:val="000000"/>
          <w:sz w:val="22"/>
        </w:rPr>
        <w:t xml:space="preserve">Wages do not include amounts paid pursuant to special arrangements between an employer and employee whereby the employer pays increased wages and the employee reimburses the employer or a third-party obligor for all or part of the wage increase. This limitation includes, but is not limited to, the practice of increasing an employee’s wages by the employer’s share of health care costs and having the employee reimburse the employer or a third-party provider for such health care costs. Wages do not include amounts paid pursuant to a special arrangement between an employer and employee whereby wages in excess of the covered wage ceiling for a particular year are deferred to one or more subsequent years. Wages do not include employer contributions to a plan, program, or arrangement that are not included in the employee’s federal taxable income. However, certain employer contributions under IRC Section 125 plans are permitted to be treated as covered wages under rule </w:t>
      </w:r>
      <w:hyperlink r:id="rId7">
        <w:r>
          <w:rPr>
            <w:rStyle w:val="Hyperlink"/>
            <w:rFonts w:ascii="Times New Roman" w:hAnsi="Times New Roman"/>
            <w:b w:val="false"/>
            <w:i w:val="false"/>
            <w:color w:val="000000"/>
            <w:sz w:val="22"/>
          </w:rPr>
          <w:t>495—6.5</w:t>
        </w:r>
      </w:hyperlink>
      <w:r>
        <w:rPr>
          <w:rFonts w:ascii="Times New Roman" w:hAnsi="Times New Roman"/>
          <w:b w:val="false"/>
          <w:i w:val="false"/>
          <w:color w:val="000000"/>
          <w:sz w:val="22"/>
        </w:rPr>
        <w:t>(97B) subject to the terms of that rule.</w:t>
      </w:r>
    </w:p>
    <w:p>
      <w:pPr>
        <w:spacing w:before="0" w:after="0"/>
        <w:ind w:left="120"/>
        <w:jc w:val="both"/>
      </w:pPr>
      <w:r>
        <w:rPr>
          <w:rFonts w:ascii="Times New Roman" w:hAnsi="Times New Roman"/>
          <w:b w:val="false"/>
          <w:i w:val="false"/>
          <w:color w:val="000000"/>
          <w:sz w:val="22"/>
        </w:rPr>
        <w:t xml:space="preserve">Employers and employees that knowingly and willfully enter into the types of arrangements described in this subrule, causing an impermissible increase in the payments authorized under Iowa Code chapter </w:t>
      </w:r>
      <w:hyperlink r:id="rId8">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xml:space="preserve">, may be prosecuted under Iowa Code section </w:t>
      </w:r>
      <w:hyperlink r:id="rId9">
        <w:r>
          <w:rPr>
            <w:rStyle w:val="Hyperlink"/>
            <w:rFonts w:ascii="Times New Roman" w:hAnsi="Times New Roman"/>
            <w:b w:val="false"/>
            <w:i w:val="false"/>
            <w:color w:val="000000"/>
            <w:sz w:val="22"/>
          </w:rPr>
          <w:t>97B.40</w:t>
        </w:r>
      </w:hyperlink>
      <w:r>
        <w:rPr>
          <w:rFonts w:ascii="Times New Roman" w:hAnsi="Times New Roman"/>
          <w:b w:val="false"/>
          <w:i w:val="false"/>
          <w:color w:val="000000"/>
          <w:sz w:val="22"/>
        </w:rPr>
        <w:t xml:space="preserve"> for engaging in a fraudulent practice. If IPERS determines that its calculation of a member’s monthly benefit includes amounts paid under an arrangement described in this subrule, IPERS shall recalculate the member’s monthly benefit, after making the appropriate wage adjustments. IPERS may recover the amount of overpayments caused by the inclusion of the payments described in this subrule from the monthly amounts plus interest payable to the member or amounts payable to the member’s successor(s) in interest, regardless of whether or not IPERS chooses to prosecute the employers and employees under Iowa Code section </w:t>
      </w:r>
      <w:hyperlink r:id="rId10">
        <w:r>
          <w:rPr>
            <w:rStyle w:val="Hyperlink"/>
            <w:rFonts w:ascii="Times New Roman" w:hAnsi="Times New Roman"/>
            <w:b w:val="false"/>
            <w:i w:val="false"/>
            <w:color w:val="000000"/>
            <w:sz w:val="22"/>
          </w:rPr>
          <w:t>97B.40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w:t>
      </w:r>
      <w:r>
        <w:rPr>
          <w:rFonts w:ascii="Times New Roman" w:hAnsi="Times New Roman"/>
          <w:b w:val="false"/>
          <w:i w:val="false"/>
          <w:color w:val="000000"/>
          <w:sz w:val="22"/>
        </w:rPr>
        <w:t> </w:t>
      </w:r>
      <w:r>
        <w:rPr>
          <w:rFonts w:ascii="Times New Roman" w:hAnsi="Times New Roman"/>
          <w:b w:val="false"/>
          <w:i/>
          <w:color w:val="000000"/>
          <w:sz w:val="22"/>
        </w:rPr>
        <w:t xml:space="preserve">Wage equivalents. </w:t>
      </w:r>
      <w:r>
        <w:rPr>
          <w:rFonts w:ascii="Times New Roman" w:hAnsi="Times New Roman"/>
          <w:b w:val="false"/>
          <w:i w:val="false"/>
          <w:color w:val="000000"/>
          <w:sz w:val="22"/>
        </w:rPr>
        <w:t>Items such as food, lodging and transportation are includable as employee income, if they are paid as compensation for employment. The basic test is whether or not such wage equivalent was given for the convenience of the employee or employing unit. Wage equivalents are not reportable under IPERS if given for the convenience of the employing unit or are not reasonably quantifiable. Wage equivalents that are not included in the member’s federal taxable income shall be deemed to be for the convenience of the employer. A wage equivalent is not reportable if the employer certifies that there was a substantial business reason for providing the wage equivalent, even if the wage equivalent is included in the employee’s federal taxable income. Wages paid in any other form than money are measured by the fair market value of the meals, lodging, travel or other wage equivalents.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6.3(10)</w:t>
      </w:r>
      <w:r>
        <w:rPr>
          <w:rFonts w:ascii="Times New Roman" w:hAnsi="Times New Roman"/>
          <w:b w:val="false"/>
          <w:i w:val="false"/>
          <w:color w:val="000000"/>
          <w:sz w:val="22"/>
        </w:rPr>
        <w:t> </w:t>
      </w:r>
      <w:r>
        <w:rPr>
          <w:rFonts w:ascii="Times New Roman" w:hAnsi="Times New Roman"/>
          <w:b w:val="false"/>
          <w:i/>
          <w:color w:val="000000"/>
          <w:sz w:val="22"/>
        </w:rPr>
        <w:t xml:space="preserve">Members of the general assembly. </w:t>
      </w:r>
      <w:r>
        <w:rPr>
          <w:rFonts w:ascii="Times New Roman" w:hAnsi="Times New Roman"/>
          <w:b w:val="false"/>
          <w:i w:val="false"/>
          <w:color w:val="000000"/>
          <w:sz w:val="22"/>
        </w:rPr>
        <w:t>Wages for a member of the general assembly means the total compensation received by a member of the general assembly, whether paid in the form of per diem or annual salary. Wages include per diem payments paid to members of the general assembly during interim periods between sessions of the general assembly. Wages do not include expense payments except that, effective July 1, 1990, wages include daily allowances to members of the general assembly for nontravel expenses of office during a session of the general assembly. Such nontravel expenses of office during a session of the general assembly shall not exceed the maximum established by law for members from Polk County. A member of the general assembly who has elected to participate in IPERS shall receive four quarters of service credit for each calendar year during the member’s term of office, even if no wages are reported in one or more quarters during a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w:t>
      </w:r>
      <w:r>
        <w:rPr>
          <w:rFonts w:ascii="Times New Roman" w:hAnsi="Times New Roman"/>
          <w:b w:val="false"/>
          <w:i w:val="false"/>
          <w:color w:val="000000"/>
          <w:sz w:val="22"/>
        </w:rPr>
        <w:t> </w:t>
      </w:r>
      <w:r>
        <w:rPr>
          <w:rFonts w:ascii="Times New Roman" w:hAnsi="Times New Roman"/>
          <w:b w:val="false"/>
          <w:i/>
          <w:color w:val="000000"/>
          <w:sz w:val="22"/>
        </w:rPr>
        <w:t xml:space="preserve">Wages restored following an employer-mandated reduction in hours.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3/15/17</w:t>
      </w:r>
      <w:r>
        <w:rPr>
          <w:rFonts w:ascii="Times New Roman" w:hAnsi="Times New Roman"/>
          <w:b w:val="false"/>
          <w:i w:val="false"/>
          <w:color w:val="000000"/>
          <w:sz w:val="22"/>
        </w:rPr>
        <w:t>, effective 4/19/17.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6.3(12)</w:t>
      </w:r>
      <w:r>
        <w:rPr>
          <w:rFonts w:ascii="Times New Roman" w:hAnsi="Times New Roman"/>
          <w:b w:val="false"/>
          <w:i w:val="false"/>
          <w:color w:val="000000"/>
          <w:sz w:val="22"/>
        </w:rPr>
        <w:t> </w:t>
      </w:r>
      <w:r>
        <w:rPr>
          <w:rFonts w:ascii="Times New Roman" w:hAnsi="Times New Roman"/>
          <w:b w:val="false"/>
          <w:i/>
          <w:color w:val="000000"/>
          <w:sz w:val="22"/>
        </w:rPr>
        <w:t xml:space="preserve">Wages paid as a back pay settlement. </w:t>
      </w:r>
      <w:r>
        <w:rPr>
          <w:rFonts w:ascii="Times New Roman" w:hAnsi="Times New Roman"/>
          <w:b w:val="false"/>
          <w:i w:val="false"/>
          <w:color w:val="000000"/>
          <w:sz w:val="22"/>
        </w:rPr>
        <w:t>IPERS contributions must be calculated on the gross amount of a back pay settlement before the settlement is reduced for taxes, interim wages, unemployment compensation, and similar mitigation of damages adjustments. IPERS contributions must be calculated by reducing the gross amount of a back pay settlement by any amounts not considered covered wages such as, but not limited to, lump sum payments for medical expenses.</w:t>
      </w:r>
    </w:p>
    <w:p>
      <w:pPr>
        <w:spacing w:before="0" w:after="0"/>
        <w:ind w:left="120"/>
        <w:jc w:val="both"/>
      </w:pPr>
      <w:r>
        <w:rPr>
          <w:rFonts w:ascii="Times New Roman" w:hAnsi="Times New Roman"/>
          <w:b w:val="false"/>
          <w:i w:val="false"/>
          <w:color w:val="000000"/>
          <w:sz w:val="22"/>
        </w:rPr>
        <w:t xml:space="preserve">Notwithstanding the foregoing, a back pay settlement that does not require the reinstatement of a terminated employee and payment of the amount of wages that would have been paid during the period of severance (before adjustments) shall be treated by IPERS as a “special lump sum payment” under subrule </w:t>
      </w:r>
      <w:hyperlink r:id="rId11">
        <w:r>
          <w:rPr>
            <w:rStyle w:val="Hyperlink"/>
            <w:rFonts w:ascii="Times New Roman" w:hAnsi="Times New Roman"/>
            <w:b w:val="false"/>
            <w:i w:val="false"/>
            <w:color w:val="000000"/>
            <w:sz w:val="22"/>
          </w:rPr>
          <w:t>6.3(6)</w:t>
        </w:r>
      </w:hyperlink>
      <w:r>
        <w:rPr>
          <w:rFonts w:ascii="Times New Roman" w:hAnsi="Times New Roman"/>
          <w:b w:val="false"/>
          <w:i w:val="false"/>
          <w:color w:val="000000"/>
          <w:sz w:val="22"/>
        </w:rPr>
        <w:t xml:space="preserve"> and shall not be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6.3(13)</w:t>
      </w:r>
      <w:r>
        <w:rPr>
          <w:rFonts w:ascii="Times New Roman" w:hAnsi="Times New Roman"/>
          <w:b w:val="false"/>
          <w:i w:val="false"/>
          <w:color w:val="000000"/>
          <w:sz w:val="22"/>
        </w:rPr>
        <w:t> </w:t>
      </w:r>
      <w:r>
        <w:rPr>
          <w:rFonts w:ascii="Times New Roman" w:hAnsi="Times New Roman"/>
          <w:b w:val="false"/>
          <w:i/>
          <w:color w:val="000000"/>
          <w:sz w:val="22"/>
        </w:rPr>
        <w:t xml:space="preserve">Limitations on benefits and contributions.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Section 415(b) limitations on benefits. </w:t>
      </w:r>
      <w:r>
        <w:rPr>
          <w:rFonts w:ascii="Times New Roman" w:hAnsi="Times New Roman"/>
          <w:b w:val="false"/>
          <w:i w:val="false"/>
          <w:color w:val="000000"/>
          <w:sz w:val="22"/>
        </w:rPr>
        <w:t xml:space="preserve">A member may not receive an annual benefit that exceeds the dollar amount specified in </w:t>
      </w:r>
      <w:r>
        <w:rPr>
          <w:rFonts w:ascii="Times New Roman" w:hAnsi="Times New Roman"/>
          <w:b w:val="false"/>
          <w:i w:val="false"/>
          <w:color w:val="000000"/>
          <w:sz w:val="22"/>
        </w:rPr>
        <w:t>Section 415(b)(1)(A) of the Internal Revenue Code</w:t>
      </w:r>
      <w:r>
        <w:rPr>
          <w:rFonts w:ascii="Times New Roman" w:hAnsi="Times New Roman"/>
          <w:b w:val="false"/>
          <w:i w:val="false"/>
          <w:color w:val="000000"/>
          <w:sz w:val="22"/>
        </w:rPr>
        <w:t xml:space="preserve">, subject to the applicable adjustments in </w:t>
      </w:r>
      <w:r>
        <w:rPr>
          <w:rFonts w:ascii="Times New Roman" w:hAnsi="Times New Roman"/>
          <w:b w:val="false"/>
          <w:i w:val="false"/>
          <w:color w:val="000000"/>
          <w:sz w:val="22"/>
        </w:rPr>
        <w:t>Internal Revenue Code Sections 415(b) and 415(d)</w:t>
      </w:r>
      <w:r>
        <w:rPr>
          <w:rFonts w:ascii="Times New Roman" w:hAnsi="Times New Roman"/>
          <w:b w:val="false"/>
          <w:i w:val="false"/>
          <w:color w:val="000000"/>
          <w:sz w:val="22"/>
        </w:rPr>
        <w:t xml:space="preserve">. For purposes of applying the limits under </w:t>
      </w:r>
      <w:r>
        <w:rPr>
          <w:rFonts w:ascii="Times New Roman" w:hAnsi="Times New Roman"/>
          <w:b w:val="false"/>
          <w:i w:val="false"/>
          <w:color w:val="000000"/>
          <w:sz w:val="22"/>
        </w:rPr>
        <w:t>Internal Revenue Code Section 415(b) (Limit)</w:t>
      </w:r>
      <w:r>
        <w:rPr>
          <w:rFonts w:ascii="Times New Roman" w:hAnsi="Times New Roman"/>
          <w:b w:val="false"/>
          <w:i w:val="false"/>
          <w:color w:val="000000"/>
          <w:sz w:val="22"/>
        </w:rPr>
        <w:t>, the following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 respect to a member who does not receive a portion of the member’s annual benefit in a lump sum: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member’s Limit will be applied to the member’s annual benefit in the first limitation year without regard to any automatic cost-of-living increases;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To the extent the member’s annual benefit equals or exceeds the Limit, the member will no longer be eligible for cost-of-living increases under the IPERS trust fund until such time as the benefit plus the accumulated increases are less than the applicable Limit;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Thereafter, in any subsequent limitation year, the member’s annual benefit including any automatic cost-of-living increase shall be tested under the then applicable benefit Limit, including any adjustment to the </w:t>
      </w:r>
      <w:r>
        <w:rPr>
          <w:rFonts w:ascii="Times New Roman" w:hAnsi="Times New Roman"/>
          <w:b w:val="false"/>
          <w:i w:val="false"/>
          <w:color w:val="000000"/>
          <w:sz w:val="22"/>
        </w:rPr>
        <w:t>Internal Revenue Code Section 415(b)(1)(A)</w:t>
      </w:r>
      <w:r>
        <w:rPr>
          <w:rFonts w:ascii="Times New Roman" w:hAnsi="Times New Roman"/>
          <w:b w:val="false"/>
          <w:i w:val="false"/>
          <w:color w:val="000000"/>
          <w:sz w:val="22"/>
        </w:rPr>
        <w:t xml:space="preserve"> dollar limit under </w:t>
      </w:r>
      <w:r>
        <w:rPr>
          <w:rFonts w:ascii="Times New Roman" w:hAnsi="Times New Roman"/>
          <w:b w:val="false"/>
          <w:i w:val="false"/>
          <w:color w:val="000000"/>
          <w:sz w:val="22"/>
        </w:rPr>
        <w:t>Internal Revenue Code Section 415(d)</w:t>
      </w:r>
      <w:r>
        <w:rPr>
          <w:rFonts w:ascii="Times New Roman" w:hAnsi="Times New Roman"/>
          <w:b w:val="false"/>
          <w:i w:val="false"/>
          <w:color w:val="000000"/>
          <w:sz w:val="22"/>
        </w:rPr>
        <w:t xml:space="preserve"> (cost-of-living adjustments) and the regulations thereunder;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 respect to a member who receives a portion of the member’s annual benefit in a lump sum: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member’s applicable Limit shall be applied taking into consideration automatic cost of living increases as required by </w:t>
      </w:r>
      <w:r>
        <w:rPr>
          <w:rFonts w:ascii="Times New Roman" w:hAnsi="Times New Roman"/>
          <w:b w:val="false"/>
          <w:i w:val="false"/>
          <w:color w:val="000000"/>
          <w:sz w:val="22"/>
        </w:rPr>
        <w:t>Internal Revenue Code Section 415(b)</w:t>
      </w:r>
      <w:r>
        <w:rPr>
          <w:rFonts w:ascii="Times New Roman" w:hAnsi="Times New Roman"/>
          <w:b w:val="false"/>
          <w:i w:val="false"/>
          <w:color w:val="000000"/>
          <w:sz w:val="22"/>
        </w:rPr>
        <w:t xml:space="preserve"> and applicable Treasury Regulations;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In no event shall a member’s annual benefit payable under the system in any limitation year be greater than the Limit applicable at the annuity starting date, as increased in subsequent years pursuant to </w:t>
      </w:r>
      <w:r>
        <w:rPr>
          <w:rFonts w:ascii="Times New Roman" w:hAnsi="Times New Roman"/>
          <w:b w:val="false"/>
          <w:i w:val="false"/>
          <w:color w:val="000000"/>
          <w:sz w:val="22"/>
        </w:rPr>
        <w:t>Internal Revenue Code Section 415(d)</w:t>
      </w:r>
      <w:r>
        <w:rPr>
          <w:rFonts w:ascii="Times New Roman" w:hAnsi="Times New Roman"/>
          <w:b w:val="false"/>
          <w:i w:val="false"/>
          <w:color w:val="000000"/>
          <w:sz w:val="22"/>
        </w:rPr>
        <w:t xml:space="preserve"> and the regulations thereunder. If the form of benefit without regard to the automatic benefit increase feature is not a straight life or a qualified joint and survivor annuity, then the preceding sentence is applied by either reducing the Limit applicable at the annuity starting date or adjusting the form of benefit to an actuarially equivalent straight life annuity benefit determined using the assumptions required by Treasury Regulations, including the mortality table specified in Revenue Ruling 2001-62 or Revenue Ruling 2007-67,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Section 415(c) limitations on contributions and other member additions. </w:t>
      </w:r>
      <w:r>
        <w:rPr>
          <w:rFonts w:ascii="Times New Roman" w:hAnsi="Times New Roman"/>
          <w:b w:val="false"/>
          <w:i w:val="false"/>
          <w:color w:val="000000"/>
          <w:sz w:val="22"/>
        </w:rPr>
        <w:t xml:space="preserve">Member contributions and other additions paid to the system may not exceed the annual limits on contributions and other additions allowed by </w:t>
      </w:r>
      <w:r>
        <w:rPr>
          <w:rFonts w:ascii="Times New Roman" w:hAnsi="Times New Roman"/>
          <w:b w:val="false"/>
          <w:i w:val="false"/>
          <w:color w:val="000000"/>
          <w:sz w:val="22"/>
        </w:rPr>
        <w:t>Internal Revenue Code Section 415(c)</w:t>
      </w:r>
      <w:r>
        <w:rPr>
          <w:rFonts w:ascii="Times New Roman" w:hAnsi="Times New Roman"/>
          <w:b w:val="false"/>
          <w:i w:val="false"/>
          <w:color w:val="000000"/>
          <w:sz w:val="22"/>
        </w:rPr>
        <w:t xml:space="preserve">. For purposes of applying these limits, the definition of “compensation,” where applicable, will be compensation as defined in Treasury Regulation Section 1.415(c)-2(d)(3), or successor regulation. The foregoing definition of compensation will exclude member contributions picked up under </w:t>
      </w:r>
      <w:r>
        <w:rPr>
          <w:rFonts w:ascii="Times New Roman" w:hAnsi="Times New Roman"/>
          <w:b w:val="false"/>
          <w:i w:val="false"/>
          <w:color w:val="000000"/>
          <w:sz w:val="22"/>
        </w:rPr>
        <w:t>Internal Revenue Code Section 414(h)(2)</w:t>
      </w:r>
      <w:r>
        <w:rPr>
          <w:rFonts w:ascii="Times New Roman" w:hAnsi="Times New Roman"/>
          <w:b w:val="false"/>
          <w:i w:val="false"/>
          <w:color w:val="000000"/>
          <w:sz w:val="22"/>
        </w:rPr>
        <w:t xml:space="preserve"> and, for plan years beginning after December 31, 1997, compensation will include the amount of any elective deferrals, as defined in </w:t>
      </w:r>
      <w:r>
        <w:rPr>
          <w:rFonts w:ascii="Times New Roman" w:hAnsi="Times New Roman"/>
          <w:b w:val="false"/>
          <w:i w:val="false"/>
          <w:color w:val="000000"/>
          <w:sz w:val="22"/>
        </w:rPr>
        <w:t>Internal Revenue Code Section 402(g)(3)</w:t>
      </w:r>
      <w:r>
        <w:rPr>
          <w:rFonts w:ascii="Times New Roman" w:hAnsi="Times New Roman"/>
          <w:b w:val="false"/>
          <w:i w:val="false"/>
          <w:color w:val="000000"/>
          <w:sz w:val="22"/>
        </w:rPr>
        <w:t xml:space="preserve">, and any amount contributed or deferred by the employer at the election of the member and which is not includible in the gross income of the member by reason of </w:t>
      </w:r>
      <w:r>
        <w:rPr>
          <w:rFonts w:ascii="Times New Roman" w:hAnsi="Times New Roman"/>
          <w:b w:val="false"/>
          <w:i w:val="false"/>
          <w:color w:val="000000"/>
          <w:sz w:val="22"/>
        </w:rPr>
        <w:t>Internal Revenue Code Section 125 or 457</w:t>
      </w:r>
      <w:r>
        <w:rPr>
          <w:rFonts w:ascii="Times New Roman" w:hAnsi="Times New Roman"/>
          <w:b w:val="false"/>
          <w:i w:val="false"/>
          <w:color w:val="000000"/>
          <w:sz w:val="22"/>
        </w:rPr>
        <w:t xml:space="preserve"> and, for plan years beginning on and after January 1, 2001, pursuant to </w:t>
      </w:r>
      <w:r>
        <w:rPr>
          <w:rFonts w:ascii="Times New Roman" w:hAnsi="Times New Roman"/>
          <w:b w:val="false"/>
          <w:i w:val="false"/>
          <w:color w:val="000000"/>
          <w:sz w:val="22"/>
        </w:rPr>
        <w:t>Internal Revenue Code Section 132(f)(4)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Limitation year. </w:t>
      </w:r>
      <w:r>
        <w:rPr>
          <w:rFonts w:ascii="Times New Roman" w:hAnsi="Times New Roman"/>
          <w:b w:val="false"/>
          <w:i w:val="false"/>
          <w:color w:val="000000"/>
          <w:sz w:val="22"/>
        </w:rPr>
        <w:t>The limitation year is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6.3(14)</w:t>
      </w:r>
      <w:r>
        <w:rPr>
          <w:rFonts w:ascii="Times New Roman" w:hAnsi="Times New Roman"/>
          <w:b w:val="false"/>
          <w:i w:val="false"/>
          <w:color w:val="000000"/>
          <w:sz w:val="22"/>
        </w:rPr>
        <w:t> </w:t>
      </w:r>
      <w:r>
        <w:rPr>
          <w:rFonts w:ascii="Times New Roman" w:hAnsi="Times New Roman"/>
          <w:b w:val="false"/>
          <w:i/>
          <w:color w:val="000000"/>
          <w:sz w:val="22"/>
        </w:rPr>
        <w:t xml:space="preserve">Employer payments treated as remuneration counted against the reemployment earnings limit. </w:t>
      </w:r>
      <w:r>
        <w:rPr>
          <w:rFonts w:ascii="Times New Roman" w:hAnsi="Times New Roman"/>
          <w:b w:val="false"/>
          <w:i w:val="false"/>
          <w:color w:val="000000"/>
          <w:sz w:val="22"/>
        </w:rPr>
        <w:t xml:space="preserve">All taxable or nontaxable compensation, regardless of the title, tag line, label, or classification attributed to that compensation paid by IPERS-covered employers to retired reemployed IPERS members, shall be considered remuneration when determining reemployment earnings limits and reductions as set forth under Iowa Code section </w:t>
      </w:r>
      <w:hyperlink r:id="rId12">
        <w:r>
          <w:rPr>
            <w:rStyle w:val="Hyperlink"/>
            <w:rFonts w:ascii="Times New Roman" w:hAnsi="Times New Roman"/>
            <w:b w:val="false"/>
            <w:i w:val="false"/>
            <w:color w:val="000000"/>
            <w:sz w:val="22"/>
          </w:rPr>
          <w:t>97B.48A</w:t>
        </w:r>
      </w:hyperlink>
      <w:r>
        <w:rPr>
          <w:rFonts w:ascii="Times New Roman" w:hAnsi="Times New Roman"/>
          <w:b w:val="false"/>
          <w:i w:val="false"/>
          <w:color w:val="000000"/>
          <w:sz w:val="22"/>
        </w:rPr>
        <w:t xml:space="preserve"> and rule </w:t>
      </w:r>
      <w:hyperlink r:id="rId13">
        <w:r>
          <w:rPr>
            <w:rStyle w:val="Hyperlink"/>
            <w:rFonts w:ascii="Times New Roman" w:hAnsi="Times New Roman"/>
            <w:b w:val="false"/>
            <w:i w:val="false"/>
            <w:color w:val="000000"/>
            <w:sz w:val="22"/>
          </w:rPr>
          <w:t>495—12.8</w:t>
        </w:r>
      </w:hyperlink>
      <w:r>
        <w:rPr>
          <w:rFonts w:ascii="Times New Roman" w:hAnsi="Times New Roman"/>
          <w:b w:val="false"/>
          <w:i w:val="false"/>
          <w:color w:val="000000"/>
          <w:sz w:val="22"/>
        </w:rPr>
        <w:t xml:space="preserve">(97B). This rule shall apply whether the compensation is paid pursuant to individual contracts or otherwise, and regardless of whether it is considered covered or noncovered compensation under Iowa Code section </w:t>
      </w:r>
      <w:hyperlink r:id="rId14">
        <w:r>
          <w:rPr>
            <w:rStyle w:val="Hyperlink"/>
            <w:rFonts w:ascii="Times New Roman" w:hAnsi="Times New Roman"/>
            <w:b w:val="false"/>
            <w:i w:val="false"/>
            <w:color w:val="000000"/>
            <w:sz w:val="22"/>
          </w:rPr>
          <w:t>97B.1A(26)</w:t>
        </w:r>
      </w:hyperlink>
      <w:r>
        <w:rPr>
          <w:rFonts w:ascii="Times New Roman" w:hAnsi="Times New Roman"/>
          <w:b w:val="false"/>
          <w:i w:val="false"/>
          <w:color w:val="000000"/>
          <w:sz w:val="22"/>
        </w:rPr>
        <w:t xml:space="preserve"> and the administrative rules thereunder, except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Contributions to health insurance plans and programs,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Reimbursements of actual work-related expenses required by the retired reemployed members’ jobs.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6.3(15)</w:t>
      </w:r>
      <w:r>
        <w:rPr>
          <w:rFonts w:ascii="Times New Roman" w:hAnsi="Times New Roman"/>
          <w:b w:val="false"/>
          <w:i w:val="false"/>
          <w:color w:val="000000"/>
          <w:sz w:val="22"/>
        </w:rPr>
        <w:t> </w:t>
      </w:r>
      <w:r>
        <w:rPr>
          <w:rFonts w:ascii="Times New Roman" w:hAnsi="Times New Roman"/>
          <w:b w:val="false"/>
          <w:i/>
          <w:color w:val="000000"/>
          <w:sz w:val="22"/>
        </w:rPr>
        <w:t xml:space="preserve">Employer contributions as remuneration counted against the reemployment earnings limit. </w:t>
      </w:r>
      <w:r>
        <w:rPr>
          <w:rFonts w:ascii="Times New Roman" w:hAnsi="Times New Roman"/>
          <w:b w:val="false"/>
          <w:i w:val="false"/>
          <w:color w:val="000000"/>
          <w:sz w:val="22"/>
        </w:rPr>
        <w:t xml:space="preserve">Employer contributions made on behalf of retired reemployed members to tax qualified and nonqualified retirement and deferred compensation plans and to other fringe benefit arrangements, excluding health insurance plans and programs, shall constitute remuneration from employment which shall be applied to the reemployment earnings limits and reductions set forth under rule </w:t>
      </w:r>
      <w:hyperlink r:id="rId15">
        <w:r>
          <w:rPr>
            <w:rStyle w:val="Hyperlink"/>
            <w:rFonts w:ascii="Times New Roman" w:hAnsi="Times New Roman"/>
            <w:b w:val="false"/>
            <w:i w:val="false"/>
            <w:color w:val="000000"/>
            <w:sz w:val="22"/>
          </w:rPr>
          <w:t>495—12.8(97B)</w:t>
        </w:r>
      </w:hyperlink>
      <w:r>
        <w:rPr>
          <w:rFonts w:ascii="Times New Roman" w:hAnsi="Times New Roman"/>
          <w:b w:val="false"/>
          <w:i w:val="false"/>
          <w:color w:val="000000"/>
          <w:sz w:val="22"/>
        </w:rPr>
        <w:t xml:space="preserve">. Such contributions, even if counted as remuneration hereunder, shall not be counted as covered wages, unless the facts in the particular case indicate that, under the circumstances, the arrangement should be treated as covered wages under rules </w:t>
      </w:r>
      <w:hyperlink r:id="rId16">
        <w:r>
          <w:rPr>
            <w:rStyle w:val="Hyperlink"/>
            <w:rFonts w:ascii="Times New Roman" w:hAnsi="Times New Roman"/>
            <w:b w:val="false"/>
            <w:i w:val="false"/>
            <w:color w:val="000000"/>
            <w:sz w:val="22"/>
          </w:rPr>
          <w:t>495—6.1(97B)</w:t>
        </w:r>
      </w:hyperlink>
      <w:r>
        <w:rPr>
          <w:rFonts w:ascii="Times New Roman" w:hAnsi="Times New Roman"/>
          <w:b w:val="false"/>
          <w:i w:val="false"/>
          <w:color w:val="000000"/>
          <w:sz w:val="22"/>
        </w:rPr>
        <w:t xml:space="preserve"> through </w:t>
      </w:r>
      <w:hyperlink r:id="rId17">
        <w:r>
          <w:rPr>
            <w:rStyle w:val="Hyperlink"/>
            <w:rFonts w:ascii="Times New Roman" w:hAnsi="Times New Roman"/>
            <w:b w:val="false"/>
            <w:i w:val="false"/>
            <w:color w:val="000000"/>
            <w:sz w:val="22"/>
          </w:rPr>
          <w:t>495—6.5(97B)</w:t>
        </w:r>
      </w:hyperlink>
      <w:r>
        <w:rPr>
          <w:rFonts w:ascii="Times New Roman" w:hAnsi="Times New Roman"/>
          <w:b w:val="false"/>
          <w:i w:val="false"/>
          <w:color w:val="000000"/>
          <w:sz w:val="22"/>
        </w:rPr>
        <w:t>. Nonelective employer contributions to the following shall constitute remuneration when determining reemployment earnings limits: tax qualified retirement and deferred compensation plans; all nonqualified retirement plans and deferred compensation arrangements; IRAs; rabbi, secular, and other trust arrangements; split dollar and other life insurance arrangements; and long-term care insurance. Bonuses and allowances will also be counted as reemployment earnings.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7759B</w:t>
      </w:r>
      <w:r>
        <w:rPr>
          <w:rFonts w:ascii="Times New Roman" w:hAnsi="Times New Roman"/>
          <w:b w:val="false"/>
          <w:i w:val="false"/>
          <w:color w:val="000000"/>
          <w:sz w:val="16"/>
        </w:rPr>
        <w:t>, IAB 5/6/09, effective 4/17/09</w:t>
      </w:r>
      <w:r>
        <w:rPr>
          <w:rFonts w:ascii="Times New Roman" w:hAnsi="Times New Roman"/>
          <w:b w:val="false"/>
          <w:i w:val="false"/>
          <w:color w:val="000000"/>
          <w:sz w:val="16"/>
        </w:rPr>
        <w:t xml:space="preserve">; </w:t>
      </w:r>
      <w:r>
        <w:rPr>
          <w:rFonts w:ascii="Times New Roman" w:hAnsi="Times New Roman"/>
          <w:b/>
          <w:i w:val="false"/>
          <w:color w:val="000000"/>
          <w:sz w:val="16"/>
        </w:rPr>
        <w:t>ARC 7916B</w:t>
      </w:r>
      <w:r>
        <w:rPr>
          <w:rFonts w:ascii="Times New Roman" w:hAnsi="Times New Roman"/>
          <w:b w:val="false"/>
          <w:i w:val="false"/>
          <w:color w:val="000000"/>
          <w:sz w:val="16"/>
        </w:rPr>
        <w:t>, IAB 7/1/09, effective 8/5/09</w:t>
      </w:r>
      <w:r>
        <w:rPr>
          <w:rFonts w:ascii="Times New Roman" w:hAnsi="Times New Roman"/>
          <w:b w:val="false"/>
          <w:i w:val="false"/>
          <w:color w:val="000000"/>
          <w:sz w:val="16"/>
        </w:rPr>
        <w:t xml:space="preserve">; </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4337C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w:t>
      </w:r>
      <w:r>
        <w:rPr>
          <w:rFonts w:ascii="Times New Roman" w:hAnsi="Times New Roman"/>
          <w:b/>
          <w:i w:val="false"/>
          <w:color w:val="000000"/>
          <w:sz w:val="16"/>
        </w:rPr>
        <w:t>ARC 6949C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495—6.4</w:t>
      </w:r>
      <w:r>
        <w:rPr>
          <w:rFonts w:ascii="Times New Roman" w:hAnsi="Times New Roman"/>
          <w:b/>
          <w:i w:val="false"/>
          <w:color w:val="000000"/>
          <w:sz w:val="22"/>
        </w:rPr>
        <w:t xml:space="preserve">(97B) </w:t>
      </w:r>
      <w:r>
        <w:rPr>
          <w:rFonts w:ascii="Times New Roman" w:hAnsi="Times New Roman"/>
          <w:b/>
          <w:i w:val="false"/>
          <w:color w:val="000000"/>
          <w:sz w:val="22"/>
        </w:rPr>
        <w:t xml:space="preserve">Month for which wages are to be reported. </w:t>
      </w:r>
      <w:r>
        <w:rPr>
          <w:rFonts w:ascii="Times New Roman" w:hAnsi="Times New Roman"/>
          <w:b w:val="false"/>
          <w:i w:val="false"/>
          <w:color w:val="000000"/>
          <w:sz w:val="22"/>
        </w:rPr>
        <w:t>Wages are reportable for the month in which they are actually paid to the employee, except when employees are awarded lump sum payments of back wages, whether as a result of litigation or otherwise, receive lump sum payments of extra duty pay, and similar situations involving regular and periodic lump sum payments which IPERS in its sole discretion determines should be treated as covered wages. The employer shall file with IPERS wage adjustments allocating the wages to the periods of service for which such payments are awarded. Employers shall forward the required employer and employee contributions and interest to IPERS.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w:t>
      </w:r>
      <w:r>
        <w:rPr>
          <w:rFonts w:ascii="Times New Roman" w:hAnsi="Times New Roman"/>
          <w:b w:val="false"/>
          <w:i w:val="false"/>
          <w:color w:val="000000"/>
          <w:sz w:val="22"/>
        </w:rPr>
        <w:t> </w:t>
      </w:r>
      <w:r>
        <w:rPr>
          <w:rFonts w:ascii="Times New Roman" w:hAnsi="Times New Roman"/>
          <w:b w:val="false"/>
          <w:i w:val="false"/>
          <w:color w:val="000000"/>
          <w:sz w:val="22"/>
        </w:rPr>
        <w:t>Actual and constructive receipt. An employer cannot report wages as having been paid to employees as of a monthly reporting date if the employee has not actually or constructively received the payments in question. For example, wages that are mailed, transmitted via electronic funds transfer for direct deposit, or handed to an employee on June 30 would be reported as June wages, but wages that are mailed, transmitted via electronic funds transfer for direct deposit, or handed to an employee on July 3 would be reported as July wages.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w:t>
      </w:r>
      <w:r>
        <w:rPr>
          <w:rFonts w:ascii="Times New Roman" w:hAnsi="Times New Roman"/>
          <w:b w:val="false"/>
          <w:i w:val="false"/>
          <w:color w:val="000000"/>
          <w:sz w:val="22"/>
        </w:rPr>
        <w:t> </w:t>
      </w:r>
      <w:r>
        <w:rPr>
          <w:rFonts w:ascii="Times New Roman" w:hAnsi="Times New Roman"/>
          <w:b w:val="false"/>
          <w:i w:val="false"/>
          <w:color w:val="000000"/>
          <w:sz w:val="22"/>
        </w:rPr>
        <w:t>One quarter of service will be credited for each quarter in which a member is paid IPERS-covered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“Covered wages” means wages of a member during periods of service that do not exceed the annual covered wage maximum as permitted for a given year under </w:t>
      </w:r>
      <w:r>
        <w:rPr>
          <w:rFonts w:ascii="Times New Roman" w:hAnsi="Times New Roman"/>
          <w:b w:val="false"/>
          <w:i w:val="false"/>
          <w:color w:val="000000"/>
          <w:sz w:val="22"/>
        </w:rPr>
        <w:t>Sections 401(a)(17)(A) and (B) of the Internal Revenue Code</w:t>
      </w:r>
      <w:r>
        <w:rPr>
          <w:rFonts w:ascii="Times New Roman" w:hAnsi="Times New Roman"/>
          <w:b w:val="false"/>
          <w:i w:val="false"/>
          <w:color w:val="000000"/>
          <w:sz w:val="22"/>
        </w:rPr>
        <w:t>, which are incorporated herein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member is employed by more than one employer during the calendar year, the total amount of wages paid by all covered employers shall be included in determining the annual covered wage limit established under </w:t>
      </w:r>
      <w:r>
        <w:rPr>
          <w:rFonts w:ascii="Times New Roman" w:hAnsi="Times New Roman"/>
          <w:b w:val="false"/>
          <w:i w:val="false"/>
          <w:color w:val="000000"/>
          <w:sz w:val="22"/>
        </w:rPr>
        <w:t>Sections 401(a)(17)(A) and (B) of the Internal Revenue Code</w:t>
      </w:r>
      <w:r>
        <w:rPr>
          <w:rFonts w:ascii="Times New Roman" w:hAnsi="Times New Roman"/>
          <w:b w:val="false"/>
          <w:i w:val="false"/>
          <w:color w:val="000000"/>
          <w:sz w:val="22"/>
        </w:rPr>
        <w:t xml:space="preserve">. If the amount of wages paid to a member by several employers during any given month exceeds the covered wage limit as determined for that calendar year, the amount of the excess shall not be subject to contributions required by Iowa Code section </w:t>
      </w:r>
      <w:hyperlink r:id="rId18">
        <w:r>
          <w:rPr>
            <w:rStyle w:val="Hyperlink"/>
            <w:rFonts w:ascii="Times New Roman" w:hAnsi="Times New Roman"/>
            <w:b w:val="false"/>
            <w:i w:val="false"/>
            <w:color w:val="000000"/>
            <w:sz w:val="22"/>
          </w:rPr>
          <w:t>97B.11</w:t>
        </w:r>
      </w:hyperlink>
      <w:r>
        <w:rPr>
          <w:rFonts w:ascii="Times New Roman" w:hAnsi="Times New Roman"/>
          <w:b w:val="false"/>
          <w:i w:val="false"/>
          <w:color w:val="000000"/>
          <w:sz w:val="22"/>
        </w:rPr>
        <w:t xml:space="preserve">. IPERS shall not accept excess wages and applicable contributions from employers and shall return excess contributions as provided in </w:t>
      </w:r>
      <w:hyperlink r:id="rId19">
        <w:r>
          <w:rPr>
            <w:rStyle w:val="Hyperlink"/>
            <w:rFonts w:ascii="Times New Roman" w:hAnsi="Times New Roman"/>
            <w:b w:val="false"/>
            <w:i w:val="false"/>
            <w:color w:val="000000"/>
            <w:sz w:val="22"/>
          </w:rPr>
          <w:t>495—subrule 4.3(8)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7759B</w:t>
      </w:r>
      <w:r>
        <w:rPr>
          <w:rFonts w:ascii="Times New Roman" w:hAnsi="Times New Roman"/>
          <w:b w:val="false"/>
          <w:i w:val="false"/>
          <w:color w:val="000000"/>
          <w:sz w:val="16"/>
        </w:rPr>
        <w:t>, IAB 5/6/09, effective 4/17/09</w:t>
      </w:r>
      <w:r>
        <w:rPr>
          <w:rFonts w:ascii="Times New Roman" w:hAnsi="Times New Roman"/>
          <w:b w:val="false"/>
          <w:i w:val="false"/>
          <w:color w:val="000000"/>
          <w:sz w:val="16"/>
        </w:rPr>
        <w:t xml:space="preserve">; </w:t>
      </w:r>
      <w:r>
        <w:rPr>
          <w:rFonts w:ascii="Times New Roman" w:hAnsi="Times New Roman"/>
          <w:b/>
          <w:i w:val="false"/>
          <w:color w:val="000000"/>
          <w:sz w:val="16"/>
        </w:rPr>
        <w:t>ARC 7916B</w:t>
      </w:r>
      <w:r>
        <w:rPr>
          <w:rFonts w:ascii="Times New Roman" w:hAnsi="Times New Roman"/>
          <w:b w:val="false"/>
          <w:i w:val="false"/>
          <w:color w:val="000000"/>
          <w:sz w:val="16"/>
        </w:rPr>
        <w:t>, IAB 7/1/09, effective 8/5/09</w:t>
      </w:r>
      <w:r>
        <w:rPr>
          <w:rFonts w:ascii="Times New Roman" w:hAnsi="Times New Roman"/>
          <w:b w:val="false"/>
          <w:i w:val="false"/>
          <w:color w:val="000000"/>
          <w:sz w:val="16"/>
        </w:rPr>
        <w:t xml:space="preserve">; </w:t>
      </w:r>
      <w:r>
        <w:rPr>
          <w:rFonts w:ascii="Times New Roman" w:hAnsi="Times New Roman"/>
          <w:b/>
          <w:i w:val="false"/>
          <w:color w:val="000000"/>
          <w:sz w:val="16"/>
        </w:rPr>
        <w:t>ARC 9397B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 xml:space="preserve">; </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4337C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495—6.5</w:t>
      </w:r>
      <w:r>
        <w:rPr>
          <w:rFonts w:ascii="Times New Roman" w:hAnsi="Times New Roman"/>
          <w:b/>
          <w:i w:val="false"/>
          <w:color w:val="000000"/>
          <w:sz w:val="22"/>
        </w:rPr>
        <w:t xml:space="preserve">(97B) </w:t>
      </w:r>
      <w:r>
        <w:rPr>
          <w:rFonts w:ascii="Times New Roman" w:hAnsi="Times New Roman"/>
          <w:b/>
          <w:i w:val="false"/>
          <w:color w:val="000000"/>
          <w:sz w:val="22"/>
        </w:rPr>
        <w:t xml:space="preserve">Covered wage treatment for employer contributions to IRC Section 125 plans. </w:t>
      </w:r>
      <w:r>
        <w:rPr>
          <w:rFonts w:ascii="Times New Roman" w:hAnsi="Times New Roman"/>
          <w:b w:val="false"/>
          <w:i w:val="false"/>
          <w:color w:val="000000"/>
          <w:sz w:val="22"/>
        </w:rPr>
        <w:t>If certain conditions are met, employer contributions to fringe benefit programs that qualify under IRC Section 125 may be treated as covered wages. The following subrules set forth IPERS’ regulations for determining covered wage treatment and for making wage adjustments when employer-paid contributions have been covered or excluded in violation of the standards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w:t>
      </w:r>
      <w:r>
        <w:rPr>
          <w:rFonts w:ascii="Times New Roman" w:hAnsi="Times New Roman"/>
          <w:b w:val="false"/>
          <w:i w:val="false"/>
          <w:color w:val="000000"/>
          <w:sz w:val="22"/>
        </w:rPr>
        <w:t> </w:t>
      </w:r>
      <w:r>
        <w:rPr>
          <w:rFonts w:ascii="Times New Roman" w:hAnsi="Times New Roman"/>
          <w:b w:val="false"/>
          <w:i/>
          <w:color w:val="000000"/>
          <w:sz w:val="22"/>
        </w:rPr>
        <w:t xml:space="preserve">Section 125 plans. </w:t>
      </w:r>
      <w:r>
        <w:rPr>
          <w:rFonts w:ascii="Times New Roman" w:hAnsi="Times New Roman"/>
          <w:b w:val="false"/>
          <w:i w:val="false"/>
          <w:color w:val="000000"/>
          <w:sz w:val="22"/>
        </w:rPr>
        <w:t xml:space="preserve">For purposes of this rule, a Section 125 plan means an employer-sponsored fringe benefit plan that is subject to </w:t>
      </w:r>
      <w:r>
        <w:rPr>
          <w:rFonts w:ascii="Times New Roman" w:hAnsi="Times New Roman"/>
          <w:b w:val="false"/>
          <w:i w:val="false"/>
          <w:color w:val="000000"/>
          <w:sz w:val="22"/>
        </w:rPr>
        <w:t>Section 125 of the federal Internal Revenue Code</w:t>
      </w:r>
      <w:r>
        <w:rPr>
          <w:rFonts w:ascii="Times New Roman" w:hAnsi="Times New Roman"/>
          <w:b w:val="false"/>
          <w:i w:val="false"/>
          <w:color w:val="000000"/>
          <w:sz w:val="22"/>
        </w:rPr>
        <w:t xml:space="preserve"> (IRC). Some of the common names for this type of plan are cafeteria plan, flexible benefits plan, flex plan, and flexible spending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Effective January 1, 2017, employers must annually certify to IPERS, on a form approved by the system, that their Section 125 plans meet all IRC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employer does not certify its Section 125 plan’s compliance with the IRC, all employer contributions to fringe benefit plans will be excluded from IPERS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w:t>
      </w:r>
      <w:r>
        <w:rPr>
          <w:rFonts w:ascii="Times New Roman" w:hAnsi="Times New Roman"/>
          <w:b w:val="false"/>
          <w:i w:val="false"/>
          <w:color w:val="000000"/>
          <w:sz w:val="22"/>
        </w:rPr>
        <w:t> </w:t>
      </w:r>
      <w:r>
        <w:rPr>
          <w:rFonts w:ascii="Times New Roman" w:hAnsi="Times New Roman"/>
          <w:b w:val="false"/>
          <w:i/>
          <w:color w:val="000000"/>
          <w:sz w:val="22"/>
        </w:rPr>
        <w:t xml:space="preserve">Elective employer contributions. </w:t>
      </w:r>
      <w:r>
        <w:rPr>
          <w:rFonts w:ascii="Times New Roman" w:hAnsi="Times New Roman"/>
          <w:b w:val="false"/>
          <w:i w:val="false"/>
          <w:color w:val="000000"/>
          <w:sz w:val="22"/>
        </w:rPr>
        <w:t>For purposes of this rule, “elective employer contributions” means employer contributions made to a Section 125 plan that can be received in cash or used to purchase benefits under the Section 125 plan. Generally, elective employer contributions that are not subject to special eligibility requirements qualify as covered wages.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w:t>
      </w:r>
      <w:r>
        <w:rPr>
          <w:rFonts w:ascii="Times New Roman" w:hAnsi="Times New Roman"/>
          <w:b w:val="false"/>
          <w:i w:val="false"/>
          <w:color w:val="000000"/>
          <w:sz w:val="22"/>
        </w:rPr>
        <w:t> </w:t>
      </w:r>
      <w:r>
        <w:rPr>
          <w:rFonts w:ascii="Times New Roman" w:hAnsi="Times New Roman"/>
          <w:b w:val="false"/>
          <w:i/>
          <w:color w:val="000000"/>
          <w:sz w:val="22"/>
        </w:rPr>
        <w:t xml:space="preserve">Mandatory minimum coverage requirements. </w:t>
      </w:r>
      <w:r>
        <w:rPr>
          <w:rFonts w:ascii="Times New Roman" w:hAnsi="Times New Roman"/>
          <w:b w:val="false"/>
          <w:i w:val="false"/>
          <w:color w:val="000000"/>
          <w:sz w:val="22"/>
        </w:rPr>
        <w:t>The term “elective employer contributions” does not include employer contributions that must be used to purchase benefits under a Section 125 plan. For example, if an employer provides $2,500 to its employees to purchase benefits in a Section 125 plan, but requires that all employees must use $1,000 of that amount to purchase single health coverage, the cost of the single coverage is deducted. In this example, $1,000 would be subtracted from the $2,500 provided, resulting in $1,500 of covered wages.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w:t>
      </w:r>
      <w:r>
        <w:rPr>
          <w:rFonts w:ascii="Times New Roman" w:hAnsi="Times New Roman"/>
          <w:b w:val="false"/>
          <w:i w:val="false"/>
          <w:color w:val="000000"/>
          <w:sz w:val="22"/>
        </w:rPr>
        <w:t> </w:t>
      </w:r>
      <w:r>
        <w:rPr>
          <w:rFonts w:ascii="Times New Roman" w:hAnsi="Times New Roman"/>
          <w:b w:val="false"/>
          <w:i/>
          <w:color w:val="000000"/>
          <w:sz w:val="22"/>
        </w:rPr>
        <w:t xml:space="preserve">Uniformity determined coverage group by coverage group. </w:t>
      </w:r>
      <w:r>
        <w:rPr>
          <w:rFonts w:ascii="Times New Roman" w:hAnsi="Times New Roman"/>
          <w:b w:val="false"/>
          <w:i w:val="false"/>
          <w:color w:val="000000"/>
          <w:sz w:val="22"/>
        </w:rPr>
        <w:t xml:space="preserve">Iowa Code section </w:t>
      </w:r>
      <w:hyperlink r:id="rId20">
        <w:r>
          <w:rPr>
            <w:rStyle w:val="Hyperlink"/>
            <w:rFonts w:ascii="Times New Roman" w:hAnsi="Times New Roman"/>
            <w:b w:val="false"/>
            <w:i w:val="false"/>
            <w:color w:val="000000"/>
            <w:sz w:val="22"/>
          </w:rPr>
          <w:t>97B.1A(26)</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color w:val="000000"/>
          <w:sz w:val="22"/>
        </w:rPr>
        <w:t>“b”</w:t>
      </w:r>
      <w:r>
        <w:rPr>
          <w:rFonts w:ascii="Times New Roman" w:hAnsi="Times New Roman"/>
          <w:b w:val="false"/>
          <w:i w:val="false"/>
          <w:color w:val="000000"/>
          <w:sz w:val="22"/>
        </w:rPr>
        <w:t xml:space="preserve"> states that elective employer contributions shall be treated as covered wages only if made uniformly available and not limited to highly compensated employees. The application of the uniformity concept may be illustrated as follows: Employer Z has two major groupings of employees covered under its cafeteria plan: teaching staff and support staff. Every member of the teaching staff is provided $3,000 to purchase benefits under the Section 125 plan. Every member of the teaching staff must take single coverage costing $1,500. Every member of the support staff is provided $2,500 and must also take the single coverage costing $1,500. Each member of the teaching staff would have $1,500 treated as covered wages, and each member of the support staff would have $1,000 treated as covered wages. This would be considered uniform treatment.</w:t>
      </w:r>
    </w:p>
    <w:p>
      <w:pPr>
        <w:spacing w:before="0" w:after="0"/>
        <w:ind w:left="120"/>
        <w:jc w:val="both"/>
      </w:pPr>
      <w:r>
        <w:rPr>
          <w:rFonts w:ascii="Times New Roman" w:hAnsi="Times New Roman"/>
          <w:b w:val="false"/>
          <w:i w:val="false"/>
          <w:color w:val="000000"/>
          <w:sz w:val="22"/>
        </w:rPr>
        <w:t>Uniformity is not destroyed by the fact that the amount available to members of a coverage group varies because the actual cost of mandatory minimum coverage varies depending on actuarial factors that apply to each individual. For example, assume Employer Z above also requires each employee to have long-term disability coverage. In Employer Z’s case, the actual cost of disability coverage will vary from individual to individual. In that case, Employer Z would also deduct the actual cost of the required disability coverage, individual by individual, when determining IPERS-covered wages.</w:t>
      </w:r>
    </w:p>
    <w:p>
      <w:pPr>
        <w:spacing w:before="0" w:after="0"/>
        <w:ind w:left="120"/>
        <w:jc w:val="both"/>
      </w:pPr>
      <w:r>
        <w:rPr>
          <w:rFonts w:ascii="Times New Roman" w:hAnsi="Times New Roman"/>
          <w:b w:val="false"/>
          <w:i w:val="false"/>
          <w:color w:val="000000"/>
          <w:sz w:val="22"/>
        </w:rPr>
        <w:t>Uniformity is not destroyed if an employer has two groups of employees who, as a result of collective bargaining, have differing entitlements to employer contributions. For example, Employer Y has a contract that provides $3,500 to each employee to purchase benefits under the Section 125 plan. Every employee may take all the cash by waiving participation in the plan, or may use all or part of the employer contributions to the Section 125 plan. In the collective bargaining process, a new contract is adopted which states that the employer will still provide $3,500 to each employee to purchase benefits under the Section 125 plan. However, under the new contract, persons who waived participation before April 15 may still waive participation in the plan and take all the cash, but persons who did not waive participation and those hired after April 15 must have single coverage costing $1,700. Employer Y would be treated as having two groups of employees with different elective employer contribution amounts. The grandfathered group (employees who waived participation before April 15) would have covered wages of $3,500, and the group consisting of those who did not waive participation before April 15 and new employees would have covered wages of $1,800.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w:t>
      </w:r>
      <w:r>
        <w:rPr>
          <w:rFonts w:ascii="Times New Roman" w:hAnsi="Times New Roman"/>
          <w:b w:val="false"/>
          <w:i w:val="false"/>
          <w:color w:val="000000"/>
          <w:sz w:val="22"/>
        </w:rPr>
        <w:t> </w:t>
      </w:r>
      <w:r>
        <w:rPr>
          <w:rFonts w:ascii="Times New Roman" w:hAnsi="Times New Roman"/>
          <w:b w:val="false"/>
          <w:i/>
          <w:color w:val="000000"/>
          <w:sz w:val="22"/>
        </w:rPr>
        <w:t xml:space="preserve">Highly compensated employee test. </w:t>
      </w:r>
      <w:r>
        <w:rPr>
          <w:rFonts w:ascii="Times New Roman" w:hAnsi="Times New Roman"/>
          <w:b w:val="false"/>
          <w:i w:val="false"/>
          <w:color w:val="000000"/>
          <w:sz w:val="22"/>
        </w:rPr>
        <w:t xml:space="preserve">Iowa Code chapter </w:t>
      </w:r>
      <w:hyperlink r:id="rId21">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xml:space="preserve"> provides that, in addition to being uniformly available, employer contributions must not discriminate in favor of highly compensated employees (HCEs). For purposes of this subrule, an HCE is an employee who has reported wages and tips subject to Medicare tax in excess of the IRC Section 414(q) limit then in effect. IPERS shall apply the HCE limitation as follows. If elective employer contributions are made available to HCEs, the total elective employer contributions made available to the HCE group must not exceed 25 percent of the total elective employer contributions made available under the Section 125 plan to all employees, including the HCEs. If the elective employer contributions available to the HCE group exceed the 25 percent limit (or if it is determined that the Section 125 plan discriminates in favor of HCEs under other IRS rules), elective employer contributions for HCEs shall not exceed the highest amount available to a nonexecutive coverage group of employees covered under such plan. The general application of these principles is illustrated below, using the 2002 IRC Section 414(q) dollar limit of $90,000.</w:t>
      </w:r>
    </w:p>
    <w:p>
      <w:pPr>
        <w:spacing w:before="0" w:after="0"/>
        <w:ind w:left="120"/>
        <w:jc w:val="both"/>
      </w:pPr>
      <w:r>
        <w:rPr>
          <w:rFonts w:ascii="Times New Roman" w:hAnsi="Times New Roman"/>
          <w:b w:val="false"/>
          <w:i w:val="false"/>
          <w:color w:val="000000"/>
          <w:sz w:val="22"/>
        </w:rPr>
        <w:t>Employer W has a Section 125 plan that provides elective employer contributions totaling $7,000 to executive staff, $4,500 to teaching staff, and $3,500 to support staff. There are no other limits or exclusions that apply. These amounts are treated as covered wages for each member of each group, provided that the total amount of contributions made available to HCEs does not exceed 25 percent of the total elective employer contributions for all employees covered under the plan. If elective employer contributions for the executive staff totaled $70,000, and total elective employer contributions for the remainder of the staff totaled $500,000, the HCE percentage of total elective employer contributions would be 12 percent ($70,000 divided by $570,000), and all elective employer contributions would be treated as covered wages for all groups. However, if elective employer contributions for the executive staff totaled $70,000, and elective employer contributions for the remainder of the staff totaled $200,000, the HCE percentage would be 26 percent ($70,000 divided by $270,000), and HCEs’ elective employer contributions would be limited to $4,500 per HCE for covered wage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w:t>
      </w:r>
      <w:r>
        <w:rPr>
          <w:rFonts w:ascii="Times New Roman" w:hAnsi="Times New Roman"/>
          <w:b w:val="false"/>
          <w:i w:val="false"/>
          <w:color w:val="000000"/>
          <w:sz w:val="22"/>
        </w:rPr>
        <w:t> </w:t>
      </w:r>
      <w:r>
        <w:rPr>
          <w:rFonts w:ascii="Times New Roman" w:hAnsi="Times New Roman"/>
          <w:b w:val="false"/>
          <w:i/>
          <w:color w:val="000000"/>
          <w:sz w:val="22"/>
        </w:rPr>
        <w:t xml:space="preserve">Elective employer contributions limited to dual coverage employees. </w:t>
      </w:r>
      <w:r>
        <w:rPr>
          <w:rFonts w:ascii="Times New Roman" w:hAnsi="Times New Roman"/>
          <w:b w:val="false"/>
          <w:i w:val="false"/>
          <w:color w:val="000000"/>
          <w:sz w:val="22"/>
        </w:rPr>
        <w:t>In some cases, a Section 125 plan provides for what appear to be mandatory employer contributions for health plan coverage, but the terms of the Section 125 plan permit dual coverage employees to waive coverage and receive the employer contributions in cash, if the employee can prove coverage under another health care plan. IPERS shall continue to treat the full amount of employer contributions in such cases as not being IPERS-covered wages, even though individual employees with the described dual coverage may actually receive the employer contribution in cash.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8929B</w:t>
      </w:r>
      <w:r>
        <w:rPr>
          <w:rFonts w:ascii="Times New Roman" w:hAnsi="Times New Roman"/>
          <w:b w:val="false"/>
          <w:i w:val="false"/>
          <w:color w:val="000000"/>
          <w:sz w:val="16"/>
        </w:rPr>
        <w:t>, IAB 7/14/10, effective 6/21/10</w:t>
      </w:r>
      <w:r>
        <w:rPr>
          <w:rFonts w:ascii="Times New Roman" w:hAnsi="Times New Roman"/>
          <w:b w:val="false"/>
          <w:i w:val="false"/>
          <w:color w:val="000000"/>
          <w:sz w:val="16"/>
        </w:rPr>
        <w:t xml:space="preserve">; </w:t>
      </w:r>
      <w:r>
        <w:rPr>
          <w:rFonts w:ascii="Times New Roman" w:hAnsi="Times New Roman"/>
          <w:b/>
          <w:i w:val="false"/>
          <w:color w:val="000000"/>
          <w:sz w:val="16"/>
        </w:rPr>
        <w:t>ARC 9068B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2402C</w:t>
      </w:r>
      <w:r>
        <w:rPr>
          <w:rFonts w:ascii="Times New Roman" w:hAnsi="Times New Roman"/>
          <w:b w:val="false"/>
          <w:i w:val="false"/>
          <w:color w:val="000000"/>
          <w:sz w:val="16"/>
        </w:rPr>
        <w:t>, IAB 2/17/16, effective 3/23/16</w:t>
      </w:r>
      <w:r>
        <w:rPr>
          <w:rFonts w:ascii="Times New Roman" w:hAnsi="Times New Roman"/>
          <w:b w:val="false"/>
          <w:i w:val="false"/>
          <w:color w:val="000000"/>
          <w:sz w:val="16"/>
        </w:rPr>
        <w:t xml:space="preserve">; </w:t>
      </w:r>
      <w:r>
        <w:rPr>
          <w:rFonts w:ascii="Times New Roman" w:hAnsi="Times New Roman"/>
          <w:b/>
          <w:i w:val="false"/>
          <w:color w:val="000000"/>
          <w:sz w:val="16"/>
        </w:rPr>
        <w:t>ARC 4337C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495—6.6</w:t>
      </w:r>
      <w:r>
        <w:rPr>
          <w:rFonts w:ascii="Times New Roman" w:hAnsi="Times New Roman"/>
          <w:b/>
          <w:i w:val="false"/>
          <w:color w:val="000000"/>
          <w:sz w:val="22"/>
        </w:rPr>
        <w:t xml:space="preserve">(97B) </w:t>
      </w:r>
      <w:r>
        <w:rPr>
          <w:rFonts w:ascii="Times New Roman" w:hAnsi="Times New Roman"/>
          <w:b/>
          <w:i w:val="false"/>
          <w:color w:val="000000"/>
          <w:sz w:val="22"/>
        </w:rPr>
        <w:t xml:space="preserve">Corrections of overpayments and underpayments of contributions and benefits caused by misreporting of covered wages. </w:t>
      </w:r>
      <w:r>
        <w:rPr>
          <w:rFonts w:ascii="Times New Roman" w:hAnsi="Times New Roman"/>
          <w:b w:val="false"/>
          <w:i w:val="false"/>
          <w:color w:val="000000"/>
          <w:sz w:val="22"/>
        </w:rPr>
        <w:t>IPERS shall use the following guidelines in requiring corrections of overpayments and underpayments of contributions caused by misreported wages or IPERS-covered service. Corrections must be made for all current employees omitted in error, active, retired, and inactive members, subject to the following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w:t>
      </w:r>
      <w:r>
        <w:rPr>
          <w:rFonts w:ascii="Times New Roman" w:hAnsi="Times New Roman"/>
          <w:b w:val="false"/>
          <w:i w:val="false"/>
          <w:color w:val="000000"/>
          <w:sz w:val="22"/>
        </w:rPr>
        <w:t> </w:t>
      </w:r>
      <w:r>
        <w:rPr>
          <w:rFonts w:ascii="Times New Roman" w:hAnsi="Times New Roman"/>
          <w:b w:val="false"/>
          <w:i w:val="false"/>
          <w:color w:val="000000"/>
          <w:sz w:val="22"/>
        </w:rPr>
        <w:t xml:space="preserve">If employer and employee contributions were underreported, wage adjustments shall be filed and employers shall be billed for all shortages of employer and employee contributions plus interest. Employers shall be entitled to collect reimbursement for the employee share of contributions as provided in Iowa Code section </w:t>
      </w:r>
      <w:hyperlink r:id="rId22">
        <w:r>
          <w:rPr>
            <w:rStyle w:val="Hyperlink"/>
            <w:rFonts w:ascii="Times New Roman" w:hAnsi="Times New Roman"/>
            <w:b w:val="false"/>
            <w:i w:val="false"/>
            <w:color w:val="000000"/>
            <w:sz w:val="22"/>
          </w:rPr>
          <w:t>97B.9</w:t>
        </w:r>
      </w:hyperlink>
      <w:r>
        <w:rPr>
          <w:rFonts w:ascii="Times New Roman" w:hAnsi="Times New Roman"/>
          <w:b w:val="false"/>
          <w:i w:val="false"/>
          <w:color w:val="000000"/>
          <w:sz w:val="22"/>
        </w:rPr>
        <w:t xml:space="preserve">. If retirement benefits have been underpaid as a result of the error, IPERS shall, upon receipt of the contribution shortage, make the appropriate adjustments and pay all back benefits.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w:t>
      </w:r>
      <w:r>
        <w:rPr>
          <w:rFonts w:ascii="Times New Roman" w:hAnsi="Times New Roman"/>
          <w:b w:val="false"/>
          <w:i w:val="false"/>
          <w:color w:val="000000"/>
          <w:sz w:val="22"/>
        </w:rPr>
        <w:t> </w:t>
      </w:r>
      <w:r>
        <w:rPr>
          <w:rFonts w:ascii="Times New Roman" w:hAnsi="Times New Roman"/>
          <w:b w:val="false"/>
          <w:i w:val="false"/>
          <w:color w:val="000000"/>
          <w:sz w:val="22"/>
        </w:rPr>
        <w:t>If employer and employee contributions were overreported, wage adjustments shall be filed and the appropriate contribution amounts shall be credited to employers for distribution to the respective employee and employer contributors. If the reporting error caused an overpayment of retirement benefits, IPERS may offset excess contributions received against overpayments and shall request a repayment of the remainder of the overpayment, if any, from the recipient.</w:t>
      </w:r>
    </w:p>
    <w:p>
      <w:pPr>
        <w:spacing w:before="0" w:after="0"/>
        <w:ind w:left="120"/>
        <w:jc w:val="both"/>
      </w:pPr>
      <w:r>
        <w:rPr>
          <w:rFonts w:ascii="Times New Roman" w:hAnsi="Times New Roman"/>
          <w:b w:val="false"/>
          <w:i w:val="false"/>
          <w:color w:val="000000"/>
          <w:sz w:val="22"/>
        </w:rPr>
        <w:t xml:space="preserve">Wage adjustments, overpayments and underpayments, and unintentional reporting errors shall be determined as of the onset of the error. Notwithstanding the foregoing adjustment and collection standards, IPERS reserves the right to negotiate adjustments with individual employers in special situations, and no negotiated settlement with an employer shall be deemed to constitute a waiver of this rule or a binding precedent for other employers.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4337C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3">
        <w:r>
          <w:rPr>
            <w:rStyle w:val="Hyperlink"/>
            <w:rFonts w:ascii="Times New Roman" w:hAnsi="Times New Roman"/>
            <w:b w:val="false"/>
            <w:i w:val="false"/>
            <w:color w:val="000000"/>
            <w:sz w:val="22"/>
          </w:rPr>
          <w:t>97B.1A(26)</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97B.9</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97B.11</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97B.14</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97B.14A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5/21/04, Notice 4/14/04—published 6/9/04, effective 7/14/04]</w:t>
      </w:r>
    </w:p>
    <w:p>
      <w:pPr>
        <w:spacing w:before="0" w:after="0"/>
        <w:ind w:left="120"/>
        <w:jc w:val="center"/>
      </w:pPr>
      <w:r>
        <w:rPr>
          <w:rFonts w:ascii="Times New Roman" w:hAnsi="Times New Roman"/>
          <w:b w:val="false"/>
          <w:i w:val="false"/>
          <w:color w:val="000000"/>
          <w:sz w:val="21"/>
        </w:rPr>
        <w:t>[Filed 4/7/06, Notice 3/1/06—published 4/26/06, effective 5/31/06]</w:t>
      </w:r>
    </w:p>
    <w:p>
      <w:pPr>
        <w:spacing w:before="0" w:after="0"/>
        <w:ind w:left="120"/>
        <w:jc w:val="center"/>
      </w:pPr>
      <w:r>
        <w:rPr>
          <w:rFonts w:ascii="Times New Roman" w:hAnsi="Times New Roman"/>
          <w:b w:val="false"/>
          <w:i w:val="false"/>
          <w:color w:val="000000"/>
          <w:sz w:val="21"/>
        </w:rPr>
        <w:t>[Filed 11/3/06, Notice 9/27/06—published 11/22/06, effective 12/27/06]</w:t>
      </w:r>
    </w:p>
    <w:p>
      <w:pPr>
        <w:spacing w:before="0" w:after="0"/>
        <w:ind w:left="120"/>
        <w:jc w:val="center"/>
      </w:pPr>
      <w:r>
        <w:rPr>
          <w:rFonts w:ascii="Times New Roman" w:hAnsi="Times New Roman"/>
          <w:b w:val="false"/>
          <w:i w:val="false"/>
          <w:color w:val="000000"/>
          <w:sz w:val="21"/>
        </w:rPr>
        <w:t>[Filed 3/7/08, Notice 1/2/08—published 3/26/08, effective 4/30/08]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8/27/08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1/7/09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7759B, IAB 5/6/09, effective 4/17/09]</w:t>
      </w:r>
    </w:p>
    <w:p>
      <w:pPr>
        <w:spacing w:before="0" w:after="0"/>
        <w:ind w:left="120"/>
        <w:jc w:val="center"/>
      </w:pPr>
      <w:r>
        <w:rPr>
          <w:rFonts w:ascii="Times New Roman" w:hAnsi="Times New Roman"/>
          <w:b w:val="false"/>
          <w:i w:val="false"/>
          <w:color w:val="000000"/>
          <w:sz w:val="21"/>
        </w:rPr>
        <w:t>[Filed ARC 7916B</w:t>
      </w:r>
      <w:r>
        <w:rPr>
          <w:rFonts w:ascii="Times New Roman" w:hAnsi="Times New Roman"/>
          <w:b w:val="false"/>
          <w:i w:val="false"/>
          <w:color w:val="000000"/>
          <w:sz w:val="21"/>
        </w:rPr>
        <w:t xml:space="preserve"> (Notice ARC 7760B, IAB 5/6/09)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Emergency ARC 8929B, IAB 7/14/10, effective 6/21/10]</w:t>
      </w:r>
    </w:p>
    <w:p>
      <w:pPr>
        <w:spacing w:before="0" w:after="0"/>
        <w:ind w:left="120"/>
        <w:jc w:val="center"/>
      </w:pPr>
      <w:r>
        <w:rPr>
          <w:rFonts w:ascii="Times New Roman" w:hAnsi="Times New Roman"/>
          <w:b w:val="false"/>
          <w:i w:val="false"/>
          <w:color w:val="000000"/>
          <w:sz w:val="21"/>
        </w:rPr>
        <w:t>[Filed ARC 9068B</w:t>
      </w:r>
      <w:r>
        <w:rPr>
          <w:rFonts w:ascii="Times New Roman" w:hAnsi="Times New Roman"/>
          <w:b w:val="false"/>
          <w:i w:val="false"/>
          <w:color w:val="000000"/>
          <w:sz w:val="21"/>
        </w:rPr>
        <w:t xml:space="preserve"> (Notice ARC 8928B, IAB 7/14/10)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9397B</w:t>
      </w:r>
      <w:r>
        <w:rPr>
          <w:rFonts w:ascii="Times New Roman" w:hAnsi="Times New Roman"/>
          <w:b w:val="false"/>
          <w:i w:val="false"/>
          <w:color w:val="000000"/>
          <w:sz w:val="21"/>
        </w:rPr>
        <w:t xml:space="preserve"> (Notice ARC 9310B, IAB 12/29/10)</w:t>
      </w:r>
      <w:r>
        <w:rPr>
          <w:rFonts w:ascii="Times New Roman" w:hAnsi="Times New Roman"/>
          <w:b w:val="false"/>
          <w:i w:val="false"/>
          <w:color w:val="000000"/>
          <w:sz w:val="21"/>
        </w:rPr>
        <w:t>, IAB 2/23/11, effective 3/30/11]</w:t>
      </w:r>
    </w:p>
    <w:p>
      <w:pPr>
        <w:spacing w:before="0" w:after="0"/>
        <w:ind w:left="120"/>
        <w:jc w:val="center"/>
      </w:pPr>
      <w:r>
        <w:rPr>
          <w:rFonts w:ascii="Times New Roman" w:hAnsi="Times New Roman"/>
          <w:b w:val="false"/>
          <w:i w:val="false"/>
          <w:color w:val="000000"/>
          <w:sz w:val="21"/>
        </w:rPr>
        <w:t>[Editorial change: IAC Supplement 4/3/13]</w:t>
      </w:r>
    </w:p>
    <w:p>
      <w:pPr>
        <w:spacing w:before="0" w:after="0"/>
        <w:ind w:left="120"/>
        <w:jc w:val="center"/>
      </w:pPr>
      <w:r>
        <w:rPr>
          <w:rFonts w:ascii="Times New Roman" w:hAnsi="Times New Roman"/>
          <w:b w:val="false"/>
          <w:i w:val="false"/>
          <w:color w:val="000000"/>
          <w:sz w:val="21"/>
        </w:rPr>
        <w:t>[Filed ARC 2402C</w:t>
      </w:r>
      <w:r>
        <w:rPr>
          <w:rFonts w:ascii="Times New Roman" w:hAnsi="Times New Roman"/>
          <w:b w:val="false"/>
          <w:i w:val="false"/>
          <w:color w:val="000000"/>
          <w:sz w:val="21"/>
        </w:rPr>
        <w:t xml:space="preserve"> (Notice ARC 2331C, IAB 12/23/15)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2981C</w:t>
      </w:r>
      <w:r>
        <w:rPr>
          <w:rFonts w:ascii="Times New Roman" w:hAnsi="Times New Roman"/>
          <w:b w:val="false"/>
          <w:i w:val="false"/>
          <w:color w:val="000000"/>
          <w:sz w:val="21"/>
        </w:rPr>
        <w:t xml:space="preserve"> (Notice ARC 2892C, IAB 1/18/17)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4337C</w:t>
      </w:r>
      <w:r>
        <w:rPr>
          <w:rFonts w:ascii="Times New Roman" w:hAnsi="Times New Roman"/>
          <w:b w:val="false"/>
          <w:i w:val="false"/>
          <w:color w:val="000000"/>
          <w:sz w:val="21"/>
        </w:rPr>
        <w:t xml:space="preserve"> (Notice ARC 4238C,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6949C</w:t>
      </w:r>
      <w:r>
        <w:rPr>
          <w:rFonts w:ascii="Times New Roman" w:hAnsi="Times New Roman"/>
          <w:b w:val="false"/>
          <w:i w:val="false"/>
          <w:color w:val="000000"/>
          <w:sz w:val="21"/>
        </w:rPr>
        <w:t xml:space="preserve"> (Notice ARC 6823C, IAB 1/11/23)</w:t>
      </w:r>
      <w:r>
        <w:rPr>
          <w:rFonts w:ascii="Times New Roman" w:hAnsi="Times New Roman"/>
          <w:b w:val="false"/>
          <w:i w:val="false"/>
          <w:color w:val="000000"/>
          <w:sz w:val="21"/>
        </w:rPr>
        <w:t>, IAB 3/8/23, effective 4/12/23]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95.6.3.pdf" Type="http://schemas.openxmlformats.org/officeDocument/2006/relationships/hyperlink" Id="rId5"/>
    <Relationship TargetMode="External" Target="https://www.legis.iowa.gov/docs/iac/rule/495.6.3.pdf" Type="http://schemas.openxmlformats.org/officeDocument/2006/relationships/hyperlink" Id="rId6"/>
    <Relationship TargetMode="External" Target="https://www.legis.iowa.gov/docs/iac/rule/495.6.5.pdf" Type="http://schemas.openxmlformats.org/officeDocument/2006/relationships/hyperlink" Id="rId7"/>
    <Relationship TargetMode="External" Target="https://www.legis.iowa.gov/docs/ico/chapter/97B.pdf" Type="http://schemas.openxmlformats.org/officeDocument/2006/relationships/hyperlink" Id="rId8"/>
    <Relationship TargetMode="External" Target="https://www.legis.iowa.gov/docs/ico/chapter/97B.40.pdf" Type="http://schemas.openxmlformats.org/officeDocument/2006/relationships/hyperlink" Id="rId9"/>
    <Relationship TargetMode="External" Target="https://www.legis.iowa.gov/docs/ico/chapter/97B.40.pdf" Type="http://schemas.openxmlformats.org/officeDocument/2006/relationships/hyperlink" Id="rId10"/>
    <Relationship TargetMode="External" Target="https://www.legis.iowa.gov/docs/iac/rule/495.6.3.pdf" Type="http://schemas.openxmlformats.org/officeDocument/2006/relationships/hyperlink" Id="rId11"/>
    <Relationship TargetMode="External" Target="https://www.legis.iowa.gov/docs/ico/chapter/97B.48A.pdf" Type="http://schemas.openxmlformats.org/officeDocument/2006/relationships/hyperlink" Id="rId12"/>
    <Relationship TargetMode="External" Target="https://www.legis.iowa.gov/docs/iac/rule/495.12.8.pdf" Type="http://schemas.openxmlformats.org/officeDocument/2006/relationships/hyperlink" Id="rId13"/>
    <Relationship TargetMode="External" Target="https://www.legis.iowa.gov/docs/ico/chapter/97B.1A.pdf" Type="http://schemas.openxmlformats.org/officeDocument/2006/relationships/hyperlink" Id="rId14"/>
    <Relationship TargetMode="External" Target="https://www.legis.iowa.gov/docs/iac/rule/495.12.8.pdf" Type="http://schemas.openxmlformats.org/officeDocument/2006/relationships/hyperlink" Id="rId15"/>
    <Relationship TargetMode="External" Target="https://www.legis.iowa.gov/docs/iac/rule/495.6.1.pdf" Type="http://schemas.openxmlformats.org/officeDocument/2006/relationships/hyperlink" Id="rId16"/>
    <Relationship TargetMode="External" Target="https://www.legis.iowa.gov/docs/iac/rule/495.6.5.pdf" Type="http://schemas.openxmlformats.org/officeDocument/2006/relationships/hyperlink" Id="rId17"/>
    <Relationship TargetMode="External" Target="https://www.legis.iowa.gov/docs/ico/chapter/97B.11.pdf" Type="http://schemas.openxmlformats.org/officeDocument/2006/relationships/hyperlink" Id="rId18"/>
    <Relationship TargetMode="External" Target="https://www.legis.iowa.gov/docs/iac/rule/495.4.3.pdf" Type="http://schemas.openxmlformats.org/officeDocument/2006/relationships/hyperlink" Id="rId19"/>
    <Relationship TargetMode="External" Target="https://www.legis.iowa.gov/docs/ico/chapter/97B.1A.pdf" Type="http://schemas.openxmlformats.org/officeDocument/2006/relationships/hyperlink" Id="rId20"/>
    <Relationship TargetMode="External" Target="https://www.legis.iowa.gov/docs/ico/chapter/97B.pdf" Type="http://schemas.openxmlformats.org/officeDocument/2006/relationships/hyperlink" Id="rId21"/>
    <Relationship TargetMode="External" Target="https://www.legis.iowa.gov/docs/ico/chapter/97B.9.pdf" Type="http://schemas.openxmlformats.org/officeDocument/2006/relationships/hyperlink" Id="rId22"/>
    <Relationship TargetMode="External" Target="https://www.legis.iowa.gov/docs/ico/chapter/97B.1A.pdf" Type="http://schemas.openxmlformats.org/officeDocument/2006/relationships/hyperlink" Id="rId23"/>
    <Relationship TargetMode="External" Target="https://www.legis.iowa.gov/docs/ico/chapter/97B.9.pdf" Type="http://schemas.openxmlformats.org/officeDocument/2006/relationships/hyperlink" Id="rId24"/>
    <Relationship TargetMode="External" Target="https://www.legis.iowa.gov/docs/ico/chapter/97B.11.pdf" Type="http://schemas.openxmlformats.org/officeDocument/2006/relationships/hyperlink" Id="rId25"/>
    <Relationship TargetMode="External" Target="https://www.legis.iowa.gov/docs/ico/chapter/97B.14.pdf" Type="http://schemas.openxmlformats.org/officeDocument/2006/relationships/hyperlink" Id="rId26"/>
    <Relationship TargetMode="External" Target="https://www.legis.iowa.gov/docs/ico/chapter/97B.14A.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