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EMPLOYEES</w:t>
      </w:r>
    </w:p>
    <w:p>
      <w:pPr>
        <w:spacing w:before="0" w:after="0"/>
        <w:ind w:left="120"/>
        <w:jc w:val="center"/>
      </w:pPr>
      <w:r>
        <w:rPr>
          <w:rFonts w:ascii="Times New Roman" w:hAnsi="Times New Roman"/>
          <w:b w:val="false"/>
          <w:i w:val="false"/>
          <w:color w:val="000000"/>
          <w:sz w:val="14"/>
        </w:rPr>
        <w:t>[Prior to 6/9/04,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495—5.1</w:t>
      </w:r>
      <w:r>
        <w:rPr>
          <w:rFonts w:ascii="Times New Roman" w:hAnsi="Times New Roman"/>
          <w:b/>
          <w:i w:val="false"/>
          <w:color w:val="000000"/>
          <w:sz w:val="22"/>
        </w:rPr>
        <w:t xml:space="preserve">(97B) </w:t>
      </w:r>
      <w:r>
        <w:rPr>
          <w:rFonts w:ascii="Times New Roman" w:hAnsi="Times New Roman"/>
          <w:b/>
          <w:i w:val="false"/>
          <w:color w:val="000000"/>
          <w:sz w:val="22"/>
        </w:rPr>
        <w:t xml:space="preserve">Identification of employees covered by the IPERS retirement law.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color w:val="000000"/>
          <w:sz w:val="22"/>
        </w:rPr>
        <w:t xml:space="preserve">Definition of employee—generally. </w:t>
      </w:r>
      <w:r>
        <w:rPr>
          <w:rFonts w:ascii="Times New Roman" w:hAnsi="Times New Roman"/>
          <w:b w:val="false"/>
          <w:i w:val="false"/>
          <w:color w:val="000000"/>
          <w:sz w:val="22"/>
        </w:rPr>
        <w:t xml:space="preserve">A person is in employment as defined by Iowa Code chapter </w:t>
      </w:r>
      <w:hyperlink r:id="rId5">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if the person and the covered employer enter into a relationship which both recognize to be that of employer/employee. An employee is an individual who is subject to control by the agency for whom the individual performs services for wages. The term “control” refers only to employment and includes control over the way the employee works, where the employee works and the hours the employee works. The control need not be actually exercised for an employer/employee relationship to exist; the right to exercise control is sufficient. A public official may be an “employee” as defined in the agreement between the state of Iowa and the Secretary of Health and Human Services, without the element of direction and control.</w:t>
      </w:r>
    </w:p>
    <w:p>
      <w:pPr>
        <w:spacing w:before="0" w:after="0"/>
        <w:ind w:left="120"/>
        <w:jc w:val="both"/>
      </w:pPr>
      <w:r>
        <w:rPr>
          <w:rFonts w:ascii="Times New Roman" w:hAnsi="Times New Roman"/>
          <w:b w:val="false"/>
          <w:i w:val="false"/>
          <w:color w:val="000000"/>
          <w:sz w:val="22"/>
        </w:rPr>
        <w:t>A person is not in employment if the person volunteers services to a covered employer for which the person receives no remuneration.</w:t>
      </w:r>
    </w:p>
    <w:p>
      <w:pPr>
        <w:spacing w:before="0" w:after="0"/>
        <w:ind w:left="120"/>
        <w:jc w:val="both"/>
      </w:pPr>
      <w:r>
        <w:rPr>
          <w:rFonts w:ascii="Times New Roman" w:hAnsi="Times New Roman"/>
          <w:b w:val="false"/>
          <w:i w:val="false"/>
          <w:color w:val="000000"/>
          <w:sz w:val="22"/>
        </w:rPr>
        <w:t>IPERS makes employment determinations based on a common law test, which factors in behavior control, financial control and relationship of the parties. Once this decision is made, if any party disagrees with the decision, the party in disagreement will be required to submit an SS-8 Determination of Workers Status form directly to the Internal Revenue Service (IRS). Upon receipt of the determination by the IRS, IPERS will review this hiring arrangement a second time. A Final Agency Determination will be made at that time.</w:t>
      </w:r>
    </w:p>
    <w:p>
      <w:pPr>
        <w:spacing w:before="0" w:after="0"/>
        <w:ind w:left="120"/>
        <w:jc w:val="both"/>
      </w:pPr>
      <w:r>
        <w:rPr>
          <w:rFonts w:ascii="Times New Roman" w:hAnsi="Times New Roman"/>
          <w:b w:val="false"/>
          <w:i w:val="false"/>
          <w:color w:val="000000"/>
          <w:sz w:val="22"/>
        </w:rPr>
        <w:t>Further, if a person is performing essential governmental functions that can only be performed by a governmental employee, that person shall be IPERS-covered.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color w:val="000000"/>
          <w:sz w:val="22"/>
        </w:rPr>
        <w:t xml:space="preserve">Optional coverage procedures—July 1, 1994, through December 31, 1998. </w:t>
      </w:r>
      <w:r>
        <w:rPr>
          <w:rFonts w:ascii="Times New Roman" w:hAnsi="Times New Roman"/>
          <w:b w:val="false"/>
          <w:i w:val="false"/>
          <w:color w:val="000000"/>
          <w:sz w:val="22"/>
        </w:rPr>
        <w:t xml:space="preserve">Effective July 1, 1994, a person who is employed in a position which allows IPERS coverage to be elected as specified in Iowa Code section </w:t>
      </w:r>
      <w:hyperlink r:id="rId6">
        <w:r>
          <w:rPr>
            <w:rStyle w:val="Hyperlink"/>
            <w:rFonts w:ascii="Times New Roman" w:hAnsi="Times New Roman"/>
            <w:b w:val="false"/>
            <w:i w:val="false"/>
            <w:color w:val="000000"/>
            <w:sz w:val="22"/>
          </w:rPr>
          <w:t>97B.1A(8)</w:t>
        </w:r>
      </w:hyperlink>
      <w:r>
        <w:rPr>
          <w:rFonts w:ascii="Times New Roman" w:hAnsi="Times New Roman"/>
          <w:b w:val="false"/>
          <w:i w:val="false"/>
          <w:color w:val="000000"/>
          <w:sz w:val="22"/>
        </w:rPr>
        <w:t xml:space="preserve"> must file a one-time election form with IPERS for coverage. If the person was employed before July 1, 1994, the election must be postmarked on or before July 1, 1995. If the person was employed on or after July 1, 1994, the election must be postmarked within 60 days from the date the person was employed. Coverage will be prospective from the date the election is approved by IPERS. The election, once filed, is irrevocable and continues until the member terminates covered employment. The election window does not allow members who had been in coverage to elect 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color w:val="000000"/>
          <w:sz w:val="22"/>
        </w:rPr>
        <w:t xml:space="preserve">Election out of Iowa Code chapter </w:t>
      </w:r>
      <w:hyperlink r:id="rId7">
        <w:r>
          <w:rPr>
            <w:rStyle w:val="Hyperlink"/>
            <w:rFonts w:ascii="Times New Roman" w:hAnsi="Times New Roman"/>
            <w:b w:val="false"/>
            <w:i/>
            <w:color w:val="000000"/>
            <w:sz w:val="22"/>
          </w:rPr>
          <w:t>97B</w:t>
        </w:r>
      </w:hyperlink>
      <w:r>
        <w:rPr>
          <w:rFonts w:ascii="Times New Roman" w:hAnsi="Times New Roman"/>
          <w:b w:val="false"/>
          <w:i/>
          <w:color w:val="000000"/>
          <w:sz w:val="22"/>
        </w:rPr>
        <w:t xml:space="preserve"> coverage by certain protection occupation groups. </w:t>
      </w:r>
      <w:r>
        <w:rPr>
          <w:rFonts w:ascii="Times New Roman" w:hAnsi="Times New Roman"/>
          <w:b w:val="false"/>
          <w:i w:val="false"/>
          <w:color w:val="000000"/>
          <w:sz w:val="22"/>
        </w:rPr>
        <w:t xml:space="preserve">Effective July 1, 1994, members employed before that date as a gaming enforcement officer, a fire prevention inspector peace officer, or an employee of the division of capitol police (except clerical workers), may elect coverage under Iowa Code chapter </w:t>
      </w:r>
      <w:hyperlink r:id="rId8">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 xml:space="preserve"> in lieu of IPERS. The election must be directed to the board of trustees established in Iowa Code section </w:t>
      </w:r>
      <w:hyperlink r:id="rId9">
        <w:r>
          <w:rPr>
            <w:rStyle w:val="Hyperlink"/>
            <w:rFonts w:ascii="Times New Roman" w:hAnsi="Times New Roman"/>
            <w:b w:val="false"/>
            <w:i w:val="false"/>
            <w:color w:val="000000"/>
            <w:sz w:val="22"/>
          </w:rPr>
          <w:t>97A.5</w:t>
        </w:r>
      </w:hyperlink>
      <w:r>
        <w:rPr>
          <w:rFonts w:ascii="Times New Roman" w:hAnsi="Times New Roman"/>
          <w:b w:val="false"/>
          <w:i w:val="false"/>
          <w:color w:val="000000"/>
          <w:sz w:val="22"/>
        </w:rPr>
        <w:t xml:space="preserve"> and postmarked on or before July 1, 1995.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w:t>
      </w:r>
      <w:r>
        <w:rPr>
          <w:rFonts w:ascii="Times New Roman" w:hAnsi="Times New Roman"/>
          <w:b w:val="false"/>
          <w:i w:val="false"/>
          <w:color w:val="000000"/>
          <w:sz w:val="22"/>
        </w:rPr>
        <w:t> </w:t>
      </w:r>
      <w:r>
        <w:rPr>
          <w:rFonts w:ascii="Times New Roman" w:hAnsi="Times New Roman"/>
          <w:b w:val="false"/>
          <w:i/>
          <w:color w:val="000000"/>
          <w:sz w:val="22"/>
        </w:rPr>
        <w:t xml:space="preserve">Optional coverage procedures—January 1, 1999. </w:t>
      </w:r>
      <w:r>
        <w:rPr>
          <w:rFonts w:ascii="Times New Roman" w:hAnsi="Times New Roman"/>
          <w:b w:val="false"/>
          <w:i w:val="false"/>
          <w:color w:val="000000"/>
          <w:sz w:val="22"/>
        </w:rPr>
        <w:t>Effective January 1, 1999, new hires who may elect out of IPERS coverage shall be covered on the date of hire and shall have 60 days to elect out of coverage in writing using IPERS’ forms. Notwithstanding the foregoing, employees who had the right to elect IPERS coverage prior to January 1, 1999, but did not do so, shall be covered as of January 1, 1999, and shall have until December 31, 1999, to elect out of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495—5.2</w:t>
      </w:r>
      <w:r>
        <w:rPr>
          <w:rFonts w:ascii="Times New Roman" w:hAnsi="Times New Roman"/>
          <w:b/>
          <w:i w:val="false"/>
          <w:color w:val="000000"/>
          <w:sz w:val="22"/>
        </w:rPr>
        <w:t xml:space="preserve">(97B) </w:t>
      </w:r>
      <w:r>
        <w:rPr>
          <w:rFonts w:ascii="Times New Roman" w:hAnsi="Times New Roman"/>
          <w:b/>
          <w:i w:val="false"/>
          <w:color w:val="000000"/>
          <w:sz w:val="22"/>
        </w:rPr>
        <w:t xml:space="preserve">Coverage treatment for specific employee classifications. </w:t>
      </w:r>
      <w:r>
        <w:rPr>
          <w:rFonts w:ascii="Times New Roman" w:hAnsi="Times New Roman"/>
          <w:b w:val="false"/>
          <w:i w:val="false"/>
          <w:color w:val="000000"/>
          <w:sz w:val="22"/>
        </w:rPr>
        <w:t xml:space="preserve">Employment as defined in Iowa Code chapter </w:t>
      </w:r>
      <w:hyperlink r:id="rId10">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is not synonymous with IPERS membership. Some classes of employees are explicitly excluded or membership is made optional under Iowa Code section </w:t>
      </w:r>
      <w:hyperlink r:id="rId11">
        <w:r>
          <w:rPr>
            <w:rStyle w:val="Hyperlink"/>
            <w:rFonts w:ascii="Times New Roman" w:hAnsi="Times New Roman"/>
            <w:b w:val="false"/>
            <w:i w:val="false"/>
            <w:color w:val="000000"/>
            <w:sz w:val="22"/>
          </w:rPr>
          <w:t>97B.1A(8)</w:t>
        </w:r>
        <w:r>
          <w:rPr>
            <w:rFonts w:ascii="Times New Roman" w:hAnsi="Times New Roman"/>
            <w:b w:val="false"/>
            <w:i/>
            <w:color w:val="000000"/>
            <w:sz w:val="22"/>
          </w:rPr>
          <w:t>“b,”</w:t>
        </w:r>
      </w:hyperlink>
      <w:r>
        <w:rPr>
          <w:rFonts w:ascii="Times New Roman" w:hAnsi="Times New Roman"/>
          <w:b w:val="false"/>
          <w:i w:val="false"/>
          <w:color w:val="000000"/>
          <w:sz w:val="22"/>
        </w:rPr>
        <w:t xml:space="preserve"> while other classes are excluded or membership is made optional by their nature. The following subrules are designed to clarify the status of certain employee positions.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val="false"/>
          <w:color w:val="000000"/>
          <w:sz w:val="22"/>
        </w:rPr>
        <w:t>Elected officials. Effective January 1, 1999, the following persons shall be covered by IPERS unless they elect out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Elected officials in positions for which the compensation is on a fee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Elected officials of 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Elected officials of townships;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Elected officials of other political subdivisions who are in part-time positions.</w:t>
      </w:r>
    </w:p>
    <w:p>
      <w:pPr>
        <w:spacing w:before="0" w:after="0"/>
        <w:ind w:left="120"/>
        <w:jc w:val="both"/>
      </w:pPr>
      <w:r>
        <w:rPr>
          <w:rFonts w:ascii="Times New Roman" w:hAnsi="Times New Roman"/>
          <w:b w:val="false"/>
          <w:i w:val="false"/>
          <w:color w:val="000000"/>
          <w:sz w:val="22"/>
        </w:rPr>
        <w:t>An elected official who becomes covered under this chapter may later terminate membership by informing IPERS in writing of the expiration of the member’s term of office or, if a member of the general assembly, of the intention to terminate coverage.</w:t>
      </w:r>
    </w:p>
    <w:p>
      <w:pPr>
        <w:spacing w:before="0" w:after="0"/>
        <w:ind w:left="120"/>
        <w:jc w:val="both"/>
      </w:pPr>
      <w:r>
        <w:rPr>
          <w:rFonts w:ascii="Times New Roman" w:hAnsi="Times New Roman"/>
          <w:b w:val="false"/>
          <w:i w:val="false"/>
          <w:color w:val="000000"/>
          <w:sz w:val="22"/>
        </w:rPr>
        <w:t>An elected official does not terminate covered employment with the end of each term of office if the official has been reelected for the same position. If elected for another position, the official shall be covered unless the official elects out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val="false"/>
          <w:color w:val="000000"/>
          <w:sz w:val="22"/>
        </w:rPr>
        <w:t>County and municipal court bailiffs who receive compensation for duties shall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w:t>
      </w:r>
      <w:r>
        <w:rPr>
          <w:rFonts w:ascii="Times New Roman" w:hAnsi="Times New Roman"/>
          <w:b w:val="false"/>
          <w:i w:val="false"/>
          <w:color w:val="000000"/>
          <w:sz w:val="22"/>
        </w:rPr>
        <w:t> </w:t>
      </w:r>
      <w:r>
        <w:rPr>
          <w:rFonts w:ascii="Times New Roman" w:hAnsi="Times New Roman"/>
          <w:b w:val="false"/>
          <w:i w:val="false"/>
          <w:color w:val="000000"/>
          <w:sz w:val="22"/>
        </w:rPr>
        <w:t>Full-time city attorneys shall be covered. Part-time city attorneys who are considered to be public officers or public employees shall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w:t>
      </w:r>
      <w:r>
        <w:rPr>
          <w:rFonts w:ascii="Times New Roman" w:hAnsi="Times New Roman"/>
          <w:b w:val="false"/>
          <w:i w:val="false"/>
          <w:color w:val="000000"/>
          <w:sz w:val="22"/>
        </w:rPr>
        <w:t> </w:t>
      </w:r>
      <w:r>
        <w:rPr>
          <w:rFonts w:ascii="Times New Roman" w:hAnsi="Times New Roman"/>
          <w:b w:val="false"/>
          <w:i w:val="false"/>
          <w:color w:val="000000"/>
          <w:sz w:val="22"/>
        </w:rPr>
        <w:t>Magistrates shall be covered unless they elect out of IPERS coverage. Having made a choice to remain in IPERS coverage, a magistrate may not revoke that election and discontinue such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w:t>
      </w:r>
      <w:r>
        <w:rPr>
          <w:rFonts w:ascii="Times New Roman" w:hAnsi="Times New Roman"/>
          <w:b w:val="false"/>
          <w:i w:val="false"/>
          <w:color w:val="000000"/>
          <w:sz w:val="22"/>
        </w:rPr>
        <w:t> </w:t>
      </w:r>
      <w:r>
        <w:rPr>
          <w:rFonts w:ascii="Times New Roman" w:hAnsi="Times New Roman"/>
          <w:b w:val="false"/>
          <w:i w:val="false"/>
          <w:color w:val="000000"/>
          <w:sz w:val="22"/>
        </w:rPr>
        <w:t>Office and clerical staff of a county medical examiner’s office shall be covered. Effective January 1, 1995, county medical examiners and deputy county medical examiners who are full-time county employees shall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w:t>
      </w:r>
      <w:r>
        <w:rPr>
          <w:rFonts w:ascii="Times New Roman" w:hAnsi="Times New Roman"/>
          <w:b w:val="false"/>
          <w:i w:val="false"/>
          <w:color w:val="000000"/>
          <w:sz w:val="22"/>
        </w:rPr>
        <w:t> </w:t>
      </w:r>
      <w:r>
        <w:rPr>
          <w:rFonts w:ascii="Times New Roman" w:hAnsi="Times New Roman"/>
          <w:b w:val="false"/>
          <w:i w:val="false"/>
          <w:color w:val="000000"/>
          <w:sz w:val="22"/>
        </w:rPr>
        <w:t>Police, firefighters, emergency personnel, and certain peace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1994, police officers and firefighters of a city not participating in the retirement systems established under Iowa Code chapter </w:t>
      </w:r>
      <w:hyperlink r:id="rId12">
        <w:r>
          <w:rPr>
            <w:rStyle w:val="Hyperlink"/>
            <w:rFonts w:ascii="Times New Roman" w:hAnsi="Times New Roman"/>
            <w:b w:val="false"/>
            <w:i w:val="false"/>
            <w:color w:val="000000"/>
            <w:sz w:val="22"/>
          </w:rPr>
          <w:t>410</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 xml:space="preserve"> shall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personnel, such as ambulance drivers, who are deemed to be firefighters by the employer shall be covered as firefighters.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1995, part-time police officers shall be covered in the same manner as full-time police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Reserve peace officers employed under Iowa Code chapter </w:t>
      </w:r>
      <w:hyperlink r:id="rId14">
        <w:r>
          <w:rPr>
            <w:rStyle w:val="Hyperlink"/>
            <w:rFonts w:ascii="Times New Roman" w:hAnsi="Times New Roman"/>
            <w:b w:val="false"/>
            <w:i w:val="false"/>
            <w:color w:val="000000"/>
            <w:sz w:val="22"/>
          </w:rPr>
          <w:t>80D</w:t>
        </w:r>
      </w:hyperlink>
      <w:r>
        <w:rPr>
          <w:rFonts w:ascii="Times New Roman" w:hAnsi="Times New Roman"/>
          <w:b w:val="false"/>
          <w:i w:val="false"/>
          <w:color w:val="000000"/>
          <w:sz w:val="22"/>
        </w:rPr>
        <w:t xml:space="preserve"> shall not be covered in accordance with Iowa Code section </w:t>
      </w:r>
      <w:hyperlink r:id="rId15">
        <w:r>
          <w:rPr>
            <w:rStyle w:val="Hyperlink"/>
            <w:rFonts w:ascii="Times New Roman" w:hAnsi="Times New Roman"/>
            <w:b w:val="false"/>
            <w:i w:val="false"/>
            <w:color w:val="000000"/>
            <w:sz w:val="22"/>
          </w:rPr>
          <w:t>80D.14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police chief or fire chief who has submitted a written request to the board of trustees created by Iowa Code section </w:t>
      </w:r>
      <w:hyperlink r:id="rId16">
        <w:r>
          <w:rPr>
            <w:rStyle w:val="Hyperlink"/>
            <w:rFonts w:ascii="Times New Roman" w:hAnsi="Times New Roman"/>
            <w:b w:val="false"/>
            <w:i w:val="false"/>
            <w:color w:val="000000"/>
            <w:sz w:val="22"/>
          </w:rPr>
          <w:t>411.36</w:t>
        </w:r>
      </w:hyperlink>
      <w:r>
        <w:rPr>
          <w:rFonts w:ascii="Times New Roman" w:hAnsi="Times New Roman"/>
          <w:b w:val="false"/>
          <w:i w:val="false"/>
          <w:color w:val="000000"/>
          <w:sz w:val="22"/>
        </w:rPr>
        <w:t xml:space="preserve"> to be exempt from coverage under Iowa Code chapter </w:t>
      </w:r>
      <w:hyperlink r:id="rId17">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 xml:space="preserve"> shall not be covered under IPERS in accordance with Iowa Code sections </w:t>
      </w:r>
      <w:hyperlink r:id="rId18">
        <w:r>
          <w:rPr>
            <w:rStyle w:val="Hyperlink"/>
            <w:rFonts w:ascii="Times New Roman" w:hAnsi="Times New Roman"/>
            <w:b w:val="false"/>
            <w:i w:val="false"/>
            <w:color w:val="000000"/>
            <w:sz w:val="22"/>
          </w:rPr>
          <w:t>384.6(1)</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411.3</w:t>
        </w:r>
      </w:hyperlink>
      <w:r>
        <w:rPr>
          <w:rFonts w:ascii="Times New Roman" w:hAnsi="Times New Roman"/>
          <w:b w:val="false"/>
          <w:i w:val="false"/>
          <w:color w:val="000000"/>
          <w:sz w:val="22"/>
        </w:rPr>
        <w:t xml:space="preserve">. The city shall make on behalf of such person the contributions required under Iowa Code section </w:t>
      </w:r>
      <w:hyperlink r:id="rId20">
        <w:r>
          <w:rPr>
            <w:rStyle w:val="Hyperlink"/>
            <w:rFonts w:ascii="Times New Roman" w:hAnsi="Times New Roman"/>
            <w:b w:val="false"/>
            <w:i w:val="false"/>
            <w:color w:val="000000"/>
            <w:sz w:val="22"/>
          </w:rPr>
          <w:t>384.6(1)</w:t>
        </w:r>
      </w:hyperlink>
      <w:r>
        <w:rPr>
          <w:rFonts w:ascii="Times New Roman" w:hAnsi="Times New Roman"/>
          <w:b w:val="false"/>
          <w:i w:val="false"/>
          <w:color w:val="000000"/>
          <w:sz w:val="22"/>
        </w:rPr>
        <w:t xml:space="preserve"> to the International City Management Association/Retirement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Peace officer candidates of the department of public safety shall not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 emergency medical care provider who provides emergency medical services, as defined in Iowa Code section </w:t>
      </w:r>
      <w:hyperlink r:id="rId21">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 xml:space="preserve">, and who is not a member of the retirement systems established in Iowa Code chapter </w:t>
      </w:r>
      <w:hyperlink r:id="rId22">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 xml:space="preserve"> shall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5.2(7)</w:t>
      </w:r>
      <w:r>
        <w:rPr>
          <w:rFonts w:ascii="Times New Roman" w:hAnsi="Times New Roman"/>
          <w:b w:val="false"/>
          <w:i w:val="false"/>
          <w:color w:val="000000"/>
          <w:sz w:val="22"/>
        </w:rPr>
        <w:t> </w:t>
      </w:r>
      <w:r>
        <w:rPr>
          <w:rFonts w:ascii="Times New Roman" w:hAnsi="Times New Roman"/>
          <w:b w:val="false"/>
          <w:i w:val="false"/>
          <w:color w:val="000000"/>
          <w:sz w:val="22"/>
        </w:rPr>
        <w:t>County social welfare employees shall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5.2(8)</w:t>
      </w:r>
      <w:r>
        <w:rPr>
          <w:rFonts w:ascii="Times New Roman" w:hAnsi="Times New Roman"/>
          <w:b w:val="false"/>
          <w:i w:val="false"/>
          <w:color w:val="000000"/>
          <w:sz w:val="22"/>
        </w:rPr>
        <w:t> </w:t>
      </w:r>
      <w:r>
        <w:rPr>
          <w:rFonts w:ascii="Times New Roman" w:hAnsi="Times New Roman"/>
          <w:b w:val="false"/>
          <w:i w:val="false"/>
          <w:color w:val="000000"/>
          <w:sz w:val="22"/>
        </w:rPr>
        <w:t>Members of county soldiers relief commissions and their administrative or clerical employees shall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5.2(9)</w:t>
      </w:r>
      <w:r>
        <w:rPr>
          <w:rFonts w:ascii="Times New Roman" w:hAnsi="Times New Roman"/>
          <w:b w:val="false"/>
          <w:i w:val="false"/>
          <w:color w:val="000000"/>
          <w:sz w:val="22"/>
        </w:rPr>
        <w:t> </w:t>
      </w:r>
      <w:r>
        <w:rPr>
          <w:rFonts w:ascii="Times New Roman" w:hAnsi="Times New Roman"/>
          <w:b w:val="false"/>
          <w:i w:val="false"/>
          <w:color w:val="000000"/>
          <w:sz w:val="22"/>
        </w:rPr>
        <w:t>Part-time elected mayors, mayors of townships, and mayors who are paid on a fee basis are covered under IPERS unless they elect out of coverage. All other mayors, including appointed mayors and full-time elected mayors, whether elected by popular vote or by some other means,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5.2(10)</w:t>
      </w:r>
      <w:r>
        <w:rPr>
          <w:rFonts w:ascii="Times New Roman" w:hAnsi="Times New Roman"/>
          <w:b w:val="false"/>
          <w:i w:val="false"/>
          <w:color w:val="000000"/>
          <w:sz w:val="22"/>
        </w:rPr>
        <w:t> </w:t>
      </w:r>
      <w:r>
        <w:rPr>
          <w:rFonts w:ascii="Times New Roman" w:hAnsi="Times New Roman"/>
          <w:b w:val="false"/>
          <w:i w:val="false"/>
          <w:color w:val="000000"/>
          <w:sz w:val="22"/>
        </w:rPr>
        <w:t>Field assessors shall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5.2(11)</w:t>
      </w:r>
      <w:r>
        <w:rPr>
          <w:rFonts w:ascii="Times New Roman" w:hAnsi="Times New Roman"/>
          <w:b w:val="false"/>
          <w:i w:val="false"/>
          <w:color w:val="000000"/>
          <w:sz w:val="22"/>
        </w:rPr>
        <w:t> </w:t>
      </w:r>
      <w:r>
        <w:rPr>
          <w:rFonts w:ascii="Times New Roman" w:hAnsi="Times New Roman"/>
          <w:b w:val="false"/>
          <w:i w:val="false"/>
          <w:color w:val="000000"/>
          <w:sz w:val="22"/>
        </w:rPr>
        <w:t>Members of county boards of supervisors who receive an annual salary shall be covered. Effective for terms of office beginning January 1, 1999, part-time members of county boards of supervisors who receive an annual salary or are paid on a per diem basis shall be covered unless they elect out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5.2(12)</w:t>
      </w:r>
      <w:r>
        <w:rPr>
          <w:rFonts w:ascii="Times New Roman" w:hAnsi="Times New Roman"/>
          <w:b w:val="false"/>
          <w:i w:val="false"/>
          <w:color w:val="000000"/>
          <w:sz w:val="22"/>
        </w:rPr>
        <w:t> </w:t>
      </w:r>
      <w:r>
        <w:rPr>
          <w:rFonts w:ascii="Times New Roman" w:hAnsi="Times New Roman"/>
          <w:b w:val="false"/>
          <w:i w:val="false"/>
          <w:color w:val="000000"/>
          <w:sz w:val="22"/>
        </w:rPr>
        <w:t>Temporary employees of the general assembly who are employed for less than six months in a calendar year or work less than 1,040 hours in a calendar year shall be covered unless the employee elects out of coverage. If coverage is elected, the member may not terminate coverage until termination of covered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5.2(13)</w:t>
      </w:r>
      <w:r>
        <w:rPr>
          <w:rFonts w:ascii="Times New Roman" w:hAnsi="Times New Roman"/>
          <w:b w:val="false"/>
          <w:i w:val="false"/>
          <w:color w:val="000000"/>
          <w:sz w:val="22"/>
        </w:rPr>
        <w:t> </w:t>
      </w:r>
      <w:r>
        <w:rPr>
          <w:rFonts w:ascii="Times New Roman" w:hAnsi="Times New Roman"/>
          <w:b w:val="false"/>
          <w:i w:val="false"/>
          <w:color w:val="000000"/>
          <w:sz w:val="22"/>
        </w:rPr>
        <w:t>Effective July 1, 2008, temporary employees shall not be covered provided that they have not established an ongoing relationship with an IPERS-covered employer. An ongoing relationship with an IPERS-covered employer is established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employee is paid covered wages of $1,000 or more per quarter in two consecutive quarters;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employee is employed by a covered employer for 1,040 or more hours in a calendar year.</w:t>
      </w:r>
    </w:p>
    <w:p>
      <w:pPr>
        <w:spacing w:before="0" w:after="0"/>
        <w:ind w:left="120"/>
        <w:jc w:val="both"/>
      </w:pPr>
      <w:r>
        <w:rPr>
          <w:rFonts w:ascii="Times New Roman" w:hAnsi="Times New Roman"/>
          <w:b w:val="false"/>
          <w:i w:val="false"/>
          <w:color w:val="000000"/>
          <w:sz w:val="22"/>
        </w:rPr>
        <w:t>Coverage shall begin when the permanency of the relationship is established and shall continue until the employee’s relationship with the covered employer is severed. If there is no formal severance, coverage for a person hired for temporary employment who has established an ongoing relationship with a covered employer shall continue until that person completes four consecutive calendar quarters in which no services are performed for that employer after the last covered calendar quarter.</w:t>
      </w:r>
    </w:p>
    <w:p>
      <w:pPr>
        <w:spacing w:before="0" w:after="0"/>
        <w:ind w:left="120"/>
        <w:jc w:val="both"/>
      </w:pPr>
      <w:r>
        <w:rPr>
          <w:rFonts w:ascii="Times New Roman" w:hAnsi="Times New Roman"/>
          <w:b w:val="false"/>
          <w:i w:val="false"/>
          <w:color w:val="000000"/>
          <w:sz w:val="22"/>
        </w:rPr>
        <w:t xml:space="preserve">No service credit will be granted to a temporary employee who has become a covered employee under this rule for any quarter in which no covered wages are reported unless the employee is on a leave of absence that qualifies for service credit under Iowa Code section </w:t>
      </w:r>
      <w:hyperlink r:id="rId23">
        <w:r>
          <w:rPr>
            <w:rStyle w:val="Hyperlink"/>
            <w:rFonts w:ascii="Times New Roman" w:hAnsi="Times New Roman"/>
            <w:b w:val="false"/>
            <w:i w:val="false"/>
            <w:color w:val="000000"/>
            <w:sz w:val="22"/>
          </w:rPr>
          <w:t>97B.1A(20)</w:t>
        </w:r>
      </w:hyperlink>
      <w:r>
        <w:rPr>
          <w:rFonts w:ascii="Times New Roman" w:hAnsi="Times New Roman"/>
          <w:b w:val="false"/>
          <w:i w:val="false"/>
          <w:color w:val="000000"/>
          <w:sz w:val="22"/>
        </w:rPr>
        <w:t>. Contributions shall be paid, and service credit shall be accrued, when wages are paid in the quarter after the ongoing relationship has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5.2(14)</w:t>
      </w:r>
      <w:r>
        <w:rPr>
          <w:rFonts w:ascii="Times New Roman" w:hAnsi="Times New Roman"/>
          <w:b w:val="false"/>
          <w:i w:val="false"/>
          <w:color w:val="000000"/>
          <w:sz w:val="22"/>
        </w:rPr>
        <w:t> </w:t>
      </w:r>
      <w:r>
        <w:rPr>
          <w:rFonts w:ascii="Times New Roman" w:hAnsi="Times New Roman"/>
          <w:b w:val="false"/>
          <w:i w:val="false"/>
          <w:color w:val="000000"/>
          <w:sz w:val="22"/>
        </w:rPr>
        <w:t>Drainage district employees who have vested rights to IPERS through earlier participation or employees of drainage districts shall be covered unless they elect out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5.2(15)</w:t>
      </w:r>
      <w:r>
        <w:rPr>
          <w:rFonts w:ascii="Times New Roman" w:hAnsi="Times New Roman"/>
          <w:b w:val="false"/>
          <w:i w:val="false"/>
          <w:color w:val="000000"/>
          <w:sz w:val="22"/>
        </w:rPr>
        <w:t> </w:t>
      </w:r>
      <w:r>
        <w:rPr>
          <w:rFonts w:ascii="Times New Roman" w:hAnsi="Times New Roman"/>
          <w:b w:val="false"/>
          <w:i w:val="false"/>
          <w:color w:val="000000"/>
          <w:sz w:val="22"/>
        </w:rPr>
        <w:t>Full-time and part-time county attorneys shall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5.2(16)</w:t>
      </w:r>
      <w:r>
        <w:rPr>
          <w:rFonts w:ascii="Times New Roman" w:hAnsi="Times New Roman"/>
          <w:b w:val="false"/>
          <w:i w:val="false"/>
          <w:color w:val="000000"/>
          <w:sz w:val="22"/>
        </w:rPr>
        <w:t> </w:t>
      </w:r>
      <w:r>
        <w:rPr>
          <w:rFonts w:ascii="Times New Roman" w:hAnsi="Times New Roman"/>
          <w:b w:val="false"/>
          <w:i w:val="false"/>
          <w:color w:val="000000"/>
          <w:sz w:val="22"/>
        </w:rPr>
        <w:t>Tax study committee employees shall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5.2(17)</w:t>
      </w:r>
      <w:r>
        <w:rPr>
          <w:rFonts w:ascii="Times New Roman" w:hAnsi="Times New Roman"/>
          <w:b w:val="false"/>
          <w:i w:val="false"/>
          <w:color w:val="000000"/>
          <w:sz w:val="22"/>
        </w:rPr>
        <w:t> </w:t>
      </w:r>
      <w:r>
        <w:rPr>
          <w:rFonts w:ascii="Times New Roman" w:hAnsi="Times New Roman"/>
          <w:b w:val="false"/>
          <w:i w:val="false"/>
          <w:color w:val="000000"/>
          <w:sz w:val="22"/>
        </w:rPr>
        <w:t>School bus drivers who are considered to be public employees shall be covered. School bus drivers who are independent contractors shall not be covered. A determination must be made by IPERS on the facts presented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5.2(18)</w:t>
      </w:r>
      <w:r>
        <w:rPr>
          <w:rFonts w:ascii="Times New Roman" w:hAnsi="Times New Roman"/>
          <w:b w:val="false"/>
          <w:i w:val="false"/>
          <w:color w:val="000000"/>
          <w:sz w:val="22"/>
        </w:rPr>
        <w:t> </w:t>
      </w:r>
      <w:r>
        <w:rPr>
          <w:rFonts w:ascii="Times New Roman" w:hAnsi="Times New Roman"/>
          <w:b w:val="false"/>
          <w:i w:val="false"/>
          <w:color w:val="000000"/>
          <w:sz w:val="22"/>
        </w:rPr>
        <w:t>Full-time or part-time students employed part-time by the educational institution where they are enrolled shall not be IPERS-covered. Full-time and part-time student status is as defined by the individual educational institutions. Full-time and part-time employment status is as defined by the individual employers. If the employer is not the institution where the college student is enrolled, the college student is not exempt from IPERS coverage and employers would determine IPERS coverage by applying the usual permanent or temporary rules.</w:t>
      </w:r>
    </w:p>
    <w:p>
      <w:pPr>
        <w:spacing w:before="0" w:after="0"/>
        <w:ind w:left="120"/>
        <w:jc w:val="both"/>
      </w:pPr>
      <w:r>
        <w:rPr>
          <w:rFonts w:ascii="Times New Roman" w:hAnsi="Times New Roman"/>
          <w:b w:val="false"/>
          <w:i w:val="false"/>
          <w:color w:val="000000"/>
          <w:sz w:val="22"/>
        </w:rPr>
        <w:t>High school and lower grade students continue to be exempt from IPERS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5.2(19)</w:t>
      </w:r>
      <w:r>
        <w:rPr>
          <w:rFonts w:ascii="Times New Roman" w:hAnsi="Times New Roman"/>
          <w:b w:val="false"/>
          <w:i w:val="false"/>
          <w:color w:val="000000"/>
          <w:sz w:val="22"/>
        </w:rPr>
        <w:t> </w:t>
      </w:r>
      <w:r>
        <w:rPr>
          <w:rFonts w:ascii="Times New Roman" w:hAnsi="Times New Roman"/>
          <w:b w:val="false"/>
          <w:i w:val="false"/>
          <w:color w:val="000000"/>
          <w:sz w:val="22"/>
        </w:rPr>
        <w:t>Foreign exchange teachers and visitors including alien scholars, trainees, professors, teachers, research assistants and specialists in their fields of specialized knowledge or skill shall not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5.2(20)</w:t>
      </w:r>
      <w:r>
        <w:rPr>
          <w:rFonts w:ascii="Times New Roman" w:hAnsi="Times New Roman"/>
          <w:b w:val="false"/>
          <w:i w:val="false"/>
          <w:color w:val="000000"/>
          <w:sz w:val="22"/>
        </w:rPr>
        <w:t> </w:t>
      </w:r>
      <w:r>
        <w:rPr>
          <w:rFonts w:ascii="Times New Roman" w:hAnsi="Times New Roman"/>
          <w:b w:val="false"/>
          <w:i w:val="false"/>
          <w:color w:val="000000"/>
          <w:sz w:val="22"/>
        </w:rPr>
        <w:t>Members of any other retirement system in Iowa maintained in whole or in part by public funds shall not be covered. However, effective July 1, 1996, an employee who has two jobs, one covered by IPERS and one covered by another retirement system in Iowa, shall remain an IPERS-covered employee, unless the employee receives credit in such other retirement system for both jobs.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w:t>
      </w:r>
      <w:r>
        <w:rPr>
          <w:rFonts w:ascii="Times New Roman" w:hAnsi="Times New Roman"/>
          <w:b w:val="false"/>
          <w:i w:val="false"/>
          <w:color w:val="000000"/>
          <w:sz w:val="22"/>
        </w:rPr>
        <w:t> </w:t>
      </w:r>
      <w:r>
        <w:rPr>
          <w:rFonts w:ascii="Times New Roman" w:hAnsi="Times New Roman"/>
          <w:b w:val="false"/>
          <w:i w:val="false"/>
          <w:color w:val="000000"/>
          <w:sz w:val="22"/>
        </w:rPr>
        <w:t>Members who are contributing to the federal civil service retirement system or federal employees retirement system shall not be covered. However, effective July 1, 1996, an employee who has two jobs, one covered by IPERS and one covered by a federal retirement system, shall be considered as an IPERS-covered employee, unless the employee receives credit in such federal retirement system for both jobs.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w:t>
      </w:r>
      <w:r>
        <w:rPr>
          <w:rFonts w:ascii="Times New Roman" w:hAnsi="Times New Roman"/>
          <w:b w:val="false"/>
          <w:i w:val="false"/>
          <w:color w:val="000000"/>
          <w:sz w:val="22"/>
        </w:rPr>
        <w:t> </w:t>
      </w:r>
      <w:r>
        <w:rPr>
          <w:rFonts w:ascii="Times New Roman" w:hAnsi="Times New Roman"/>
          <w:b w:val="false"/>
          <w:i w:val="false"/>
          <w:color w:val="000000"/>
          <w:sz w:val="22"/>
        </w:rPr>
        <w:t>Employees of credit unions without capital stock organized and operated for mutual purposes without profit shall not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5.2(23)</w:t>
      </w:r>
      <w:r>
        <w:rPr>
          <w:rFonts w:ascii="Times New Roman" w:hAnsi="Times New Roman"/>
          <w:b w:val="false"/>
          <w:i w:val="false"/>
          <w:color w:val="000000"/>
          <w:sz w:val="22"/>
        </w:rPr>
        <w:t> </w:t>
      </w:r>
      <w:r>
        <w:rPr>
          <w:rFonts w:ascii="Times New Roman" w:hAnsi="Times New Roman"/>
          <w:b w:val="false"/>
          <w:i w:val="false"/>
          <w:color w:val="000000"/>
          <w:sz w:val="22"/>
        </w:rPr>
        <w:t>Members of the ministry, rabbinate or other religious order who perform full-time or part-time religious service for a covered employer shall be covered. However, members of the ministry, rabbinate or other religious order who have taken the vow of poverty may elect out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5.2(24)</w:t>
      </w:r>
      <w:r>
        <w:rPr>
          <w:rFonts w:ascii="Times New Roman" w:hAnsi="Times New Roman"/>
          <w:b w:val="false"/>
          <w:i w:val="false"/>
          <w:color w:val="000000"/>
          <w:sz w:val="22"/>
        </w:rPr>
        <w:t> </w:t>
      </w:r>
      <w:r>
        <w:rPr>
          <w:rFonts w:ascii="Times New Roman" w:hAnsi="Times New Roman"/>
          <w:b w:val="false"/>
          <w:i w:val="false"/>
          <w:color w:val="000000"/>
          <w:sz w:val="22"/>
        </w:rPr>
        <w:t>Any physician, surgeon, dentist or member of other professional groups employed full-time by a covered employer shall be covered. However, any member of a professional group who performs part-time service for any public agency but whose private practice provides the major source of income shall not be covered, except for city attorneys and health officials.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5.2(25)</w:t>
      </w:r>
      <w:r>
        <w:rPr>
          <w:rFonts w:ascii="Times New Roman" w:hAnsi="Times New Roman"/>
          <w:b w:val="false"/>
          <w:i w:val="false"/>
          <w:color w:val="000000"/>
          <w:sz w:val="22"/>
        </w:rPr>
        <w:t> </w:t>
      </w:r>
      <w:r>
        <w:rPr>
          <w:rFonts w:ascii="Times New Roman" w:hAnsi="Times New Roman"/>
          <w:b w:val="false"/>
          <w:i w:val="false"/>
          <w:color w:val="000000"/>
          <w:sz w:val="22"/>
        </w:rPr>
        <w:t>Interns and resident doctors employed by a state or local hospital, school or institution shall not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5.2(26)</w:t>
      </w:r>
      <w:r>
        <w:rPr>
          <w:rFonts w:ascii="Times New Roman" w:hAnsi="Times New Roman"/>
          <w:b w:val="false"/>
          <w:i w:val="false"/>
          <w:color w:val="000000"/>
          <w:sz w:val="22"/>
        </w:rPr>
        <w:t> </w:t>
      </w:r>
      <w:r>
        <w:rPr>
          <w:rFonts w:ascii="Times New Roman" w:hAnsi="Times New Roman"/>
          <w:b w:val="false"/>
          <w:i w:val="false"/>
          <w:color w:val="000000"/>
          <w:sz w:val="22"/>
        </w:rPr>
        <w:t>Professional personnel who acquire the status of an officer of the state of Iowa or a political subdivision thereof, even though they engage in private practice and render government service only on a part-time basis, shall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5.2(27)</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1994, volunteer firefighters and special police officers are considered temporary employees and shall be covered if they meet the requirements of subrule </w:t>
      </w:r>
      <w:hyperlink r:id="rId24">
        <w:r>
          <w:rPr>
            <w:rStyle w:val="Hyperlink"/>
            <w:rFonts w:ascii="Times New Roman" w:hAnsi="Times New Roman"/>
            <w:b w:val="false"/>
            <w:i w:val="false"/>
            <w:color w:val="000000"/>
            <w:sz w:val="22"/>
          </w:rPr>
          <w:t>5.2(13)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5.2(28)</w:t>
      </w:r>
      <w:r>
        <w:rPr>
          <w:rFonts w:ascii="Times New Roman" w:hAnsi="Times New Roman"/>
          <w:b w:val="false"/>
          <w:i w:val="false"/>
          <w:color w:val="000000"/>
          <w:sz w:val="22"/>
        </w:rPr>
        <w:t> </w:t>
      </w:r>
      <w:r>
        <w:rPr>
          <w:rFonts w:ascii="Times New Roman" w:hAnsi="Times New Roman"/>
          <w:b w:val="false"/>
          <w:i w:val="false"/>
          <w:color w:val="000000"/>
          <w:sz w:val="22"/>
        </w:rPr>
        <w:t>Residents or inmates of county homes shall not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5.2(29)</w:t>
      </w:r>
      <w:r>
        <w:rPr>
          <w:rFonts w:ascii="Times New Roman" w:hAnsi="Times New Roman"/>
          <w:b w:val="false"/>
          <w:i w:val="false"/>
          <w:color w:val="000000"/>
          <w:sz w:val="22"/>
        </w:rPr>
        <w:t> </w:t>
      </w:r>
      <w:r>
        <w:rPr>
          <w:rFonts w:ascii="Times New Roman" w:hAnsi="Times New Roman"/>
          <w:b w:val="false"/>
          <w:i w:val="false"/>
          <w:color w:val="000000"/>
          <w:sz w:val="22"/>
        </w:rPr>
        <w:t>Members of the state transportation commission, the board of parole, and the state health facilities council shall be covered unless they elect out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5.2(30)</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of an interstate agency established under Iowa Code chapter </w:t>
      </w:r>
      <w:hyperlink r:id="rId25">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and similar enabling legislation in an adjoining state, if the city had made contributions to the system for employees performing functions which are transferred to the interstate agency shall be considered employees of the city for the sole purpose of membership in IPERS, although the employer contributions for those employees are made by the interstate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5.2(31)</w:t>
      </w:r>
      <w:r>
        <w:rPr>
          <w:rFonts w:ascii="Times New Roman" w:hAnsi="Times New Roman"/>
          <w:b w:val="false"/>
          <w:i w:val="false"/>
          <w:color w:val="000000"/>
          <w:sz w:val="22"/>
        </w:rPr>
        <w:t> </w:t>
      </w:r>
      <w:r>
        <w:rPr>
          <w:rFonts w:ascii="Times New Roman" w:hAnsi="Times New Roman"/>
          <w:b w:val="false"/>
          <w:i w:val="false"/>
          <w:color w:val="000000"/>
          <w:sz w:val="22"/>
        </w:rPr>
        <w:t xml:space="preserve">City managers, or city administrators performing the duties of city managers, under a form of city government listed in Iowa Code chapter </w:t>
      </w:r>
      <w:hyperlink r:id="rId26">
        <w:r>
          <w:rPr>
            <w:rStyle w:val="Hyperlink"/>
            <w:rFonts w:ascii="Times New Roman" w:hAnsi="Times New Roman"/>
            <w:b w:val="false"/>
            <w:i w:val="false"/>
            <w:color w:val="000000"/>
            <w:sz w:val="22"/>
          </w:rPr>
          <w:t>372</w:t>
        </w:r>
      </w:hyperlink>
      <w:r>
        <w:rPr>
          <w:rFonts w:ascii="Times New Roman" w:hAnsi="Times New Roman"/>
          <w:b w:val="false"/>
          <w:i w:val="false"/>
          <w:color w:val="000000"/>
          <w:sz w:val="22"/>
        </w:rPr>
        <w:t xml:space="preserve"> or </w:t>
      </w:r>
      <w:hyperlink r:id="rId27">
        <w:r>
          <w:rPr>
            <w:rStyle w:val="Hyperlink"/>
            <w:rFonts w:ascii="Times New Roman" w:hAnsi="Times New Roman"/>
            <w:b w:val="false"/>
            <w:i w:val="false"/>
            <w:color w:val="000000"/>
            <w:sz w:val="22"/>
          </w:rPr>
          <w:t>420</w:t>
        </w:r>
      </w:hyperlink>
      <w:r>
        <w:rPr>
          <w:rFonts w:ascii="Times New Roman" w:hAnsi="Times New Roman"/>
          <w:b w:val="false"/>
          <w:i w:val="false"/>
          <w:color w:val="000000"/>
          <w:sz w:val="22"/>
        </w:rPr>
        <w:t xml:space="preserve"> shall be covered unless they elect out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5.2(32)</w:t>
      </w:r>
      <w:r>
        <w:rPr>
          <w:rFonts w:ascii="Times New Roman" w:hAnsi="Times New Roman"/>
          <w:b w:val="false"/>
          <w:i w:val="false"/>
          <w:color w:val="000000"/>
          <w:sz w:val="22"/>
        </w:rPr>
        <w:t> </w:t>
      </w:r>
      <w:r>
        <w:rPr>
          <w:rFonts w:ascii="Times New Roman" w:hAnsi="Times New Roman"/>
          <w:b w:val="false"/>
          <w:i w:val="false"/>
          <w:color w:val="000000"/>
          <w:sz w:val="22"/>
        </w:rPr>
        <w:t>Employees appointed by the state board of regents shall be covered unless they elect coverage in an alternative retirement system qualified by the state board of regents. An employee must make an election in the alternative retirement system within 60 days of the employee’s first day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5.2(33)</w:t>
      </w:r>
      <w:r>
        <w:rPr>
          <w:rFonts w:ascii="Times New Roman" w:hAnsi="Times New Roman"/>
          <w:b w:val="false"/>
          <w:i w:val="false"/>
          <w:color w:val="000000"/>
          <w:sz w:val="22"/>
        </w:rPr>
        <w:t> </w:t>
      </w:r>
      <w:r>
        <w:rPr>
          <w:rFonts w:ascii="Times New Roman" w:hAnsi="Times New Roman"/>
          <w:b w:val="false"/>
          <w:i w:val="false"/>
          <w:color w:val="000000"/>
          <w:sz w:val="22"/>
        </w:rPr>
        <w:t>Employees who work in additional positions with additional duties, along with normal duties with the same employer, shall be considered covered employees until all of their compensated duties to their employer cease. (Examples include teacher/coach; teacher/summer driver’s education instructor; and city employee/paid firefighter.)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5.2(34)</w:t>
      </w:r>
      <w:r>
        <w:rPr>
          <w:rFonts w:ascii="Times New Roman" w:hAnsi="Times New Roman"/>
          <w:b w:val="false"/>
          <w:i w:val="false"/>
          <w:color w:val="000000"/>
          <w:sz w:val="22"/>
        </w:rPr>
        <w:t> </w:t>
      </w:r>
      <w:r>
        <w:rPr>
          <w:rFonts w:ascii="Times New Roman" w:hAnsi="Times New Roman"/>
          <w:b w:val="false"/>
          <w:i w:val="false"/>
          <w:color w:val="000000"/>
          <w:sz w:val="22"/>
        </w:rPr>
        <w:t>Adjunct instructors employed by a community college or university shall not be covered. Adjunct instructors are persons employed by a community college or university without a continuing contract and whose teaching load does not exceed one-half time for two full semesters or three full quarters for the calendar year. The determination of whether a teaching load exceeds one-half time shall be based on the number of credit hours or noncredit contact hours that the community college or university considers to be a full-time teaching load for a regular full semester or quarter. An adjunct instructor whose teaching load exceeds the foregoing limitations shall be covered.</w:t>
      </w:r>
    </w:p>
    <w:p>
      <w:pPr>
        <w:spacing w:before="0" w:after="0"/>
        <w:ind w:left="120"/>
        <w:jc w:val="both"/>
      </w:pPr>
      <w:r>
        <w:rPr>
          <w:rFonts w:ascii="Times New Roman" w:hAnsi="Times New Roman"/>
          <w:b w:val="false"/>
          <w:i w:val="false"/>
          <w:color w:val="000000"/>
          <w:sz w:val="22"/>
        </w:rPr>
        <w:t>In determining whether an adjunct instructor is a covered employee, no credit shall be granted for teaching periods of shorter duration than a regular semester or regular quarter (such as summer semesters), regardless of the number of credit or contact hours assigned to that period.</w:t>
      </w:r>
    </w:p>
    <w:p>
      <w:pPr>
        <w:spacing w:before="0" w:after="0"/>
        <w:ind w:left="120"/>
        <w:jc w:val="both"/>
      </w:pPr>
      <w:r>
        <w:rPr>
          <w:rFonts w:ascii="Times New Roman" w:hAnsi="Times New Roman"/>
          <w:b w:val="false"/>
          <w:i w:val="false"/>
          <w:color w:val="000000"/>
          <w:sz w:val="22"/>
        </w:rPr>
        <w:t xml:space="preserve">If there is no formal severance, an adjunct instructor who becomes a covered employee shall remain a covered employee until that person completes four consecutive calendar quarters in which no services are performed for that covered employer after the last covered calendar quarter. Notwithstanding the foregoing sentence, no service credit will be granted to any adjunct instructor who has become a covered employee under this rule for any calendar quarter in which no covered wages are reported unless the adjunct instructor is on an approved leave of absence that qualifies for service credit under Iowa Code section </w:t>
      </w:r>
      <w:hyperlink r:id="rId28">
        <w:r>
          <w:rPr>
            <w:rStyle w:val="Hyperlink"/>
            <w:rFonts w:ascii="Times New Roman" w:hAnsi="Times New Roman"/>
            <w:b w:val="false"/>
            <w:i w:val="false"/>
            <w:color w:val="000000"/>
            <w:sz w:val="22"/>
          </w:rPr>
          <w:t>97B.1A(20)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5.2(35)</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1992, enrollees of a senior community service employment program authorized by </w:t>
      </w:r>
      <w:r>
        <w:rPr>
          <w:rFonts w:ascii="Times New Roman" w:hAnsi="Times New Roman"/>
          <w:b w:val="false"/>
          <w:i w:val="false"/>
          <w:color w:val="000000"/>
          <w:sz w:val="22"/>
        </w:rPr>
        <w:t>Title V of the Older Americans Act</w:t>
      </w:r>
      <w:r>
        <w:rPr>
          <w:rFonts w:ascii="Times New Roman" w:hAnsi="Times New Roman"/>
          <w:b w:val="false"/>
          <w:i w:val="false"/>
          <w:color w:val="000000"/>
          <w:sz w:val="22"/>
        </w:rPr>
        <w:t xml:space="preserve"> and funded by the United States Department of Labor shall not be covered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Both the enrollee and the covered employer elect coverage;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enrollee is currently contributing to IPERS.</w:t>
      </w:r>
    </w:p>
    <w:p>
      <w:pPr>
        <w:spacing w:before="0" w:after="0"/>
        <w:ind w:left="120"/>
        <w:jc w:val="both"/>
      </w:pPr>
      <w:r>
        <w:rPr>
          <w:rFonts w:ascii="Times New Roman" w:hAnsi="Times New Roman"/>
          <w:b w:val="false"/>
          <w:i w:val="false"/>
          <w:color w:val="000000"/>
          <w:sz w:val="22"/>
        </w:rPr>
        <w:t>For purposes of this subrule only, a covered employer is defined as the host agency where the enrollee is placed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5.2(36)</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of area agencies on aging shall be included. However, effective July 1, 1994, employees of area agencies on aging shall not be covered if the area agency has provided for participation by all of its eligible employees in an alternative qualified plan pursuant to the requirements of the federal </w:t>
      </w:r>
      <w:r>
        <w:rPr>
          <w:rFonts w:ascii="Times New Roman" w:hAnsi="Times New Roman"/>
          <w:b w:val="false"/>
          <w:i w:val="false"/>
          <w:color w:val="000000"/>
          <w:sz w:val="22"/>
        </w:rPr>
        <w:t>Internal Revenue Code</w:t>
      </w:r>
      <w:r>
        <w:rPr>
          <w:rFonts w:ascii="Times New Roman" w:hAnsi="Times New Roman"/>
          <w:b w:val="false"/>
          <w:i w:val="false"/>
          <w:color w:val="000000"/>
          <w:sz w:val="22"/>
        </w:rPr>
        <w:t>. If an area agency on aging does not participate in an alternative plan, or terminates participation in such plan, IPERS coverage shall begin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5.2(37)</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1994, arson investigators shall not be covered. They were transferred to the public safety peace officers’ retirement, accident and disability system as found in Iowa Code chapter </w:t>
      </w:r>
      <w:hyperlink r:id="rId29">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5.2(38)</w:t>
      </w:r>
      <w:r>
        <w:rPr>
          <w:rFonts w:ascii="Times New Roman" w:hAnsi="Times New Roman"/>
          <w:b w:val="false"/>
          <w:i w:val="false"/>
          <w:color w:val="000000"/>
          <w:sz w:val="22"/>
        </w:rPr>
        <w:t> </w:t>
      </w:r>
      <w:r>
        <w:rPr>
          <w:rFonts w:ascii="Times New Roman" w:hAnsi="Times New Roman"/>
          <w:b w:val="false"/>
          <w:i w:val="false"/>
          <w:color w:val="000000"/>
          <w:sz w:val="22"/>
        </w:rPr>
        <w:t>Persons who meet the requirements of independent contractor status as determined by IPERS using the criteria established by the federal Internal Revenue Service shall not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5.2(39)</w:t>
      </w:r>
      <w:r>
        <w:rPr>
          <w:rFonts w:ascii="Times New Roman" w:hAnsi="Times New Roman"/>
          <w:b w:val="false"/>
          <w:i w:val="false"/>
          <w:color w:val="000000"/>
          <w:sz w:val="22"/>
        </w:rPr>
        <w:t> </w:t>
      </w:r>
      <w:r>
        <w:rPr>
          <w:rFonts w:ascii="Times New Roman" w:hAnsi="Times New Roman"/>
          <w:b w:val="false"/>
          <w:i w:val="false"/>
          <w:color w:val="000000"/>
          <w:sz w:val="22"/>
        </w:rPr>
        <w:t>Effective July 1, 1994, a person employed on or after that date for certain public safety positions shall not be covered. These positions are gaming enforcement officers employed by the division of criminal investigation for excursion boat gambling enforcement activities, fire prevention inspector peace officers, and employees of the division of capitol police (except clerical workers).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5.2(40)</w:t>
      </w:r>
      <w:r>
        <w:rPr>
          <w:rFonts w:ascii="Times New Roman" w:hAnsi="Times New Roman"/>
          <w:b w:val="false"/>
          <w:i w:val="false"/>
          <w:color w:val="000000"/>
          <w:sz w:val="22"/>
        </w:rPr>
        <w:t> </w:t>
      </w:r>
      <w:r>
        <w:rPr>
          <w:rFonts w:ascii="Times New Roman" w:hAnsi="Times New Roman"/>
          <w:b w:val="false"/>
          <w:i w:val="false"/>
          <w:color w:val="000000"/>
          <w:sz w:val="22"/>
        </w:rPr>
        <w:t>Employees of area community colleges and universities shall be covered unless they elect coverage under an alternative system pursuant to a one-time irrevocable election. An employee must make an election in the alternative retirement system within 60 days of the employee’s first day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5.2(41)</w:t>
      </w:r>
      <w:r>
        <w:rPr>
          <w:rFonts w:ascii="Times New Roman" w:hAnsi="Times New Roman"/>
          <w:b w:val="false"/>
          <w:i w:val="false"/>
          <w:color w:val="000000"/>
          <w:sz w:val="22"/>
        </w:rPr>
        <w:t> </w:t>
      </w:r>
      <w:r>
        <w:rPr>
          <w:rFonts w:ascii="Times New Roman" w:hAnsi="Times New Roman"/>
          <w:b w:val="false"/>
          <w:i w:val="false"/>
          <w:color w:val="000000"/>
          <w:sz w:val="22"/>
        </w:rPr>
        <w:t xml:space="preserve">Volunteer emergency personnel, such as ambulance drivers and emergency medical technicians, shall be considered temporary employees and shall be covered if they meet the requirements of subrule </w:t>
      </w:r>
      <w:hyperlink r:id="rId30">
        <w:r>
          <w:rPr>
            <w:rStyle w:val="Hyperlink"/>
            <w:rFonts w:ascii="Times New Roman" w:hAnsi="Times New Roman"/>
            <w:b w:val="false"/>
            <w:i w:val="false"/>
            <w:color w:val="000000"/>
            <w:sz w:val="22"/>
          </w:rPr>
          <w:t>5.2(13)</w:t>
        </w:r>
      </w:hyperlink>
      <w:r>
        <w:rPr>
          <w:rFonts w:ascii="Times New Roman" w:hAnsi="Times New Roman"/>
          <w:b w:val="false"/>
          <w:i w:val="false"/>
          <w:color w:val="000000"/>
          <w:sz w:val="22"/>
        </w:rPr>
        <w:t xml:space="preserve">. Persons who meet such requirements shall be covered under the protection occupation requirements of Iowa Code section </w:t>
      </w:r>
      <w:hyperlink r:id="rId31">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xml:space="preserve"> if they are considered firefighters by their employers; otherwise they shall be covered under Iowa Code section </w:t>
      </w:r>
      <w:hyperlink r:id="rId32">
        <w:r>
          <w:rPr>
            <w:rStyle w:val="Hyperlink"/>
            <w:rFonts w:ascii="Times New Roman" w:hAnsi="Times New Roman"/>
            <w:b w:val="false"/>
            <w:i w:val="false"/>
            <w:color w:val="000000"/>
            <w:sz w:val="22"/>
          </w:rPr>
          <w:t>97B.1A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5.2(42)</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employed through any program described in Iowa Code section </w:t>
      </w:r>
      <w:hyperlink r:id="rId33">
        <w:r>
          <w:rPr>
            <w:rStyle w:val="Hyperlink"/>
            <w:rFonts w:ascii="Times New Roman" w:hAnsi="Times New Roman"/>
            <w:b w:val="false"/>
            <w:i w:val="false"/>
            <w:color w:val="000000"/>
            <w:sz w:val="22"/>
          </w:rPr>
          <w:t>84A.7</w:t>
        </w:r>
      </w:hyperlink>
      <w:r>
        <w:rPr>
          <w:rFonts w:ascii="Times New Roman" w:hAnsi="Times New Roman"/>
          <w:b w:val="false"/>
          <w:i w:val="false"/>
          <w:color w:val="000000"/>
          <w:sz w:val="22"/>
        </w:rPr>
        <w:t xml:space="preserve"> and provided by the Iowa conservation corps shall not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5.2(43)</w:t>
      </w:r>
      <w:r>
        <w:rPr>
          <w:rFonts w:ascii="Times New Roman" w:hAnsi="Times New Roman"/>
          <w:b w:val="false"/>
          <w:i w:val="false"/>
          <w:color w:val="000000"/>
          <w:sz w:val="22"/>
        </w:rPr>
        <w:t> </w:t>
      </w:r>
      <w:r>
        <w:rPr>
          <w:rFonts w:ascii="Times New Roman" w:hAnsi="Times New Roman"/>
          <w:b w:val="false"/>
          <w:i w:val="false"/>
          <w:color w:val="000000"/>
          <w:sz w:val="22"/>
        </w:rPr>
        <w:t>Appointed and full-time elective members of boards and commissions who receive a set salary shall be covered. Effective January 1, 1999, part-time elective members of boards and commissions not otherwise described in these rules who receive a set salary shall be covered unless they elect out of coverage. Members of boards, other than county boards of supervisors, and commissions, including appointed and elective full-time and part-time members, who receive only per diem and expenses shall not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5.2(44)</w:t>
      </w:r>
      <w:r>
        <w:rPr>
          <w:rFonts w:ascii="Times New Roman" w:hAnsi="Times New Roman"/>
          <w:b w:val="false"/>
          <w:i w:val="false"/>
          <w:color w:val="000000"/>
          <w:sz w:val="22"/>
        </w:rPr>
        <w:t> </w:t>
      </w:r>
      <w:r>
        <w:rPr>
          <w:rFonts w:ascii="Times New Roman" w:hAnsi="Times New Roman"/>
          <w:b w:val="false"/>
          <w:i w:val="false"/>
          <w:color w:val="000000"/>
          <w:sz w:val="22"/>
        </w:rPr>
        <w:t>Persons receiving rehabilitation services in a community rehabilitation program, rehabilitation center, sheltered workshop, and similar organizations whose primary purpose is to provide vocational rehabilitation services to target populations shall not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5.2(45)</w:t>
      </w:r>
      <w:r>
        <w:rPr>
          <w:rFonts w:ascii="Times New Roman" w:hAnsi="Times New Roman"/>
          <w:b w:val="false"/>
          <w:i w:val="false"/>
          <w:color w:val="000000"/>
          <w:sz w:val="22"/>
        </w:rPr>
        <w:t> </w:t>
      </w:r>
      <w:r>
        <w:rPr>
          <w:rFonts w:ascii="Times New Roman" w:hAnsi="Times New Roman"/>
          <w:b w:val="false"/>
          <w:i w:val="false"/>
          <w:color w:val="000000"/>
          <w:sz w:val="22"/>
        </w:rPr>
        <w:t>Persons who are members of a community service program authorized under and funded by grants made pursuant to the federal National and Community Service Act of 1990 shall not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5.2(46)</w:t>
      </w:r>
      <w:r>
        <w:rPr>
          <w:rFonts w:ascii="Times New Roman" w:hAnsi="Times New Roman"/>
          <w:b w:val="false"/>
          <w:i w:val="false"/>
          <w:color w:val="000000"/>
          <w:sz w:val="22"/>
        </w:rPr>
        <w:t> </w:t>
      </w:r>
      <w:r>
        <w:rPr>
          <w:rFonts w:ascii="Times New Roman" w:hAnsi="Times New Roman"/>
          <w:b w:val="false"/>
          <w:i w:val="false"/>
          <w:color w:val="000000"/>
          <w:sz w:val="22"/>
        </w:rPr>
        <w:t>Persons who are employed by professional employment organizations, temporary staffing agencies, and similar noncovered employers and are leased to covered employers shall not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5.2(47)</w:t>
      </w:r>
      <w:r>
        <w:rPr>
          <w:rFonts w:ascii="Times New Roman" w:hAnsi="Times New Roman"/>
          <w:b w:val="false"/>
          <w:i w:val="false"/>
          <w:color w:val="000000"/>
          <w:sz w:val="22"/>
        </w:rPr>
        <w:t> </w:t>
      </w:r>
      <w:r>
        <w:rPr>
          <w:rFonts w:ascii="Times New Roman" w:hAnsi="Times New Roman"/>
          <w:b w:val="false"/>
          <w:i w:val="false"/>
          <w:color w:val="000000"/>
          <w:sz w:val="22"/>
        </w:rPr>
        <w:t>Persons who are employed by a covered employer and leased to a noncovered employer shall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5.2(48)</w:t>
      </w:r>
      <w:r>
        <w:rPr>
          <w:rFonts w:ascii="Times New Roman" w:hAnsi="Times New Roman"/>
          <w:b w:val="false"/>
          <w:i w:val="false"/>
          <w:color w:val="000000"/>
          <w:sz w:val="22"/>
        </w:rPr>
        <w:t> </w:t>
      </w:r>
      <w:r>
        <w:rPr>
          <w:rFonts w:ascii="Times New Roman" w:hAnsi="Times New Roman"/>
          <w:b w:val="false"/>
          <w:i w:val="false"/>
          <w:color w:val="000000"/>
          <w:sz w:val="22"/>
        </w:rPr>
        <w:t>Effective July 1, 1999, persons performing referee services for a covered employer shall not be covered, unless the performance of such services is included in the persons’ regular job duties for the employer for which such services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5.2(49)</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2000, patient advocates appointed under Iowa Code section </w:t>
      </w:r>
      <w:hyperlink r:id="rId34">
        <w:r>
          <w:rPr>
            <w:rStyle w:val="Hyperlink"/>
            <w:rFonts w:ascii="Times New Roman" w:hAnsi="Times New Roman"/>
            <w:b w:val="false"/>
            <w:i w:val="false"/>
            <w:color w:val="000000"/>
            <w:sz w:val="22"/>
          </w:rPr>
          <w:t>229.19</w:t>
        </w:r>
      </w:hyperlink>
      <w:r>
        <w:rPr>
          <w:rFonts w:ascii="Times New Roman" w:hAnsi="Times New Roman"/>
          <w:b w:val="false"/>
          <w:i w:val="false"/>
          <w:color w:val="000000"/>
          <w:sz w:val="22"/>
        </w:rPr>
        <w:t xml:space="preserve"> shall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5.2(50)</w:t>
      </w:r>
      <w:r>
        <w:rPr>
          <w:rFonts w:ascii="Times New Roman" w:hAnsi="Times New Roman"/>
          <w:b w:val="false"/>
          <w:i w:val="false"/>
          <w:color w:val="000000"/>
          <w:sz w:val="22"/>
        </w:rPr>
        <w:t> </w:t>
      </w:r>
      <w:r>
        <w:rPr>
          <w:rFonts w:ascii="Times New Roman" w:hAnsi="Times New Roman"/>
          <w:b w:val="false"/>
          <w:i w:val="false"/>
          <w:color w:val="000000"/>
          <w:sz w:val="22"/>
        </w:rPr>
        <w:t>Employees of the Iowa student loan liquidity corporation shall not be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5.2(51)</w:t>
      </w:r>
      <w:r>
        <w:rPr>
          <w:rFonts w:ascii="Times New Roman" w:hAnsi="Times New Roman"/>
          <w:b w:val="false"/>
          <w:i w:val="false"/>
          <w:color w:val="000000"/>
          <w:sz w:val="22"/>
        </w:rPr>
        <w:t> </w:t>
      </w:r>
      <w:r>
        <w:rPr>
          <w:rFonts w:ascii="Times New Roman" w:hAnsi="Times New Roman"/>
          <w:b w:val="false"/>
          <w:i w:val="false"/>
          <w:color w:val="000000"/>
          <w:sz w:val="22"/>
        </w:rPr>
        <w:t>A citizen coach is an employee (permanent or temporary) who works for a school district in only a coaching capacity. An employer may provide a citizen coach with IPERS coverage immediately. If the employer chooses not to, then the following determination of IPERS coverage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citizen coach is expected to fill the position each season and cannot be unseated by another district employee, then the district and citizen coach have established a permanent relationship and IPERS coverage should begin once that citizen coach returns to coach a second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is no expectation of continued employment beyond the first season for the citizen coach, or if the citizen coach can be unseated by another district employee, then a temporary relationship exists and the citizen coach shall only be covered if the citizen coach meets the requirements of </w:t>
      </w:r>
      <w:hyperlink r:id="rId35">
        <w:r>
          <w:rPr>
            <w:rStyle w:val="Hyperlink"/>
            <w:rFonts w:ascii="Times New Roman" w:hAnsi="Times New Roman"/>
            <w:b w:val="false"/>
            <w:i w:val="false"/>
            <w:color w:val="000000"/>
            <w:sz w:val="22"/>
          </w:rPr>
          <w:t>subrule 5.2(13)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0662C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2402C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6215C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 xml:space="preserve">; </w:t>
      </w:r>
      <w:r>
        <w:rPr>
          <w:rFonts w:ascii="Times New Roman" w:hAnsi="Times New Roman"/>
          <w:b/>
          <w:i w:val="false"/>
          <w:color w:val="000000"/>
          <w:sz w:val="16"/>
        </w:rPr>
        <w:t>ARC 7811C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495—5.3</w:t>
      </w:r>
      <w:r>
        <w:rPr>
          <w:rFonts w:ascii="Times New Roman" w:hAnsi="Times New Roman"/>
          <w:b/>
          <w:i w:val="false"/>
          <w:color w:val="000000"/>
          <w:sz w:val="22"/>
        </w:rPr>
        <w:t xml:space="preserve">(97B) </w:t>
      </w:r>
      <w:r>
        <w:rPr>
          <w:rFonts w:ascii="Times New Roman" w:hAnsi="Times New Roman"/>
          <w:b/>
          <w:i w:val="false"/>
          <w:color w:val="000000"/>
          <w:sz w:val="22"/>
        </w:rPr>
        <w:t xml:space="preserve">Participation in IPERS and another retirement system. </w:t>
      </w:r>
      <w:r>
        <w:rPr>
          <w:rFonts w:ascii="Times New Roman" w:hAnsi="Times New Roman"/>
          <w:b w:val="false"/>
          <w:i w:val="false"/>
          <w:color w:val="000000"/>
          <w:sz w:val="22"/>
        </w:rPr>
        <w:t>Effective July 1, 1996, an employee may actively participate in IPERS and another retirement system supported by public funds if the person does not receive credit under both IPERS and such other retirement system for the same position held.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6">
        <w:r>
          <w:rPr>
            <w:rStyle w:val="Hyperlink"/>
            <w:rFonts w:ascii="Times New Roman" w:hAnsi="Times New Roman"/>
            <w:b w:val="false"/>
            <w:i w:val="false"/>
            <w:color w:val="000000"/>
            <w:sz w:val="22"/>
          </w:rPr>
          <w:t>97B.1A</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97B.4</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97B.42</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97B.42A</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97B.49G</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5/21/04, Notice 4/14/04—published 6/9/04, effective 7/14/04]</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3/7/08, Notice 1/2/08—published 3/26/08, effective 4/30/08]</w:t>
      </w:r>
    </w:p>
    <w:p>
      <w:pPr>
        <w:spacing w:before="0" w:after="0"/>
        <w:ind w:left="120"/>
        <w:jc w:val="center"/>
      </w:pPr>
      <w:r>
        <w:rPr>
          <w:rFonts w:ascii="Times New Roman" w:hAnsi="Times New Roman"/>
          <w:b w:val="false"/>
          <w:i w:val="false"/>
          <w:color w:val="000000"/>
          <w:sz w:val="21"/>
        </w:rPr>
        <w:t>[Filed ARC 0662C</w:t>
      </w:r>
      <w:r>
        <w:rPr>
          <w:rFonts w:ascii="Times New Roman" w:hAnsi="Times New Roman"/>
          <w:b w:val="false"/>
          <w:i w:val="false"/>
          <w:color w:val="000000"/>
          <w:sz w:val="21"/>
        </w:rPr>
        <w:t xml:space="preserve"> (Notice ARC 0598C, IAB 2/6/13)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2402C</w:t>
      </w:r>
      <w:r>
        <w:rPr>
          <w:rFonts w:ascii="Times New Roman" w:hAnsi="Times New Roman"/>
          <w:b w:val="false"/>
          <w:i w:val="false"/>
          <w:color w:val="000000"/>
          <w:sz w:val="21"/>
        </w:rPr>
        <w:t xml:space="preserve"> (Notice ARC 2331C, IAB 12/23/15)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2981C</w:t>
      </w:r>
      <w:r>
        <w:rPr>
          <w:rFonts w:ascii="Times New Roman" w:hAnsi="Times New Roman"/>
          <w:b w:val="false"/>
          <w:i w:val="false"/>
          <w:color w:val="000000"/>
          <w:sz w:val="21"/>
        </w:rPr>
        <w:t xml:space="preserve"> (Notice ARC 2892C,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3684C</w:t>
      </w:r>
      <w:r>
        <w:rPr>
          <w:rFonts w:ascii="Times New Roman" w:hAnsi="Times New Roman"/>
          <w:b w:val="false"/>
          <w:i w:val="false"/>
          <w:color w:val="000000"/>
          <w:sz w:val="21"/>
        </w:rPr>
        <w:t xml:space="preserve"> (Notice ARC 3537C,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5489C</w:t>
      </w:r>
      <w:r>
        <w:rPr>
          <w:rFonts w:ascii="Times New Roman" w:hAnsi="Times New Roman"/>
          <w:b w:val="false"/>
          <w:i w:val="false"/>
          <w:color w:val="000000"/>
          <w:sz w:val="21"/>
        </w:rPr>
        <w:t xml:space="preserve"> (Notice ARC 5359C, IAB 12/30/20)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6215C</w:t>
      </w:r>
      <w:r>
        <w:rPr>
          <w:rFonts w:ascii="Times New Roman" w:hAnsi="Times New Roman"/>
          <w:b w:val="false"/>
          <w:i w:val="false"/>
          <w:color w:val="000000"/>
          <w:sz w:val="21"/>
        </w:rPr>
        <w:t xml:space="preserve"> (Notice ARC 6117C, IAB 12/29/21)</w:t>
      </w:r>
      <w:r>
        <w:rPr>
          <w:rFonts w:ascii="Times New Roman" w:hAnsi="Times New Roman"/>
          <w:b w:val="false"/>
          <w:i w:val="false"/>
          <w:color w:val="000000"/>
          <w:sz w:val="21"/>
        </w:rPr>
        <w:t>, IAB 2/23/22, effective 3/30/22]</w:t>
      </w:r>
    </w:p>
    <w:p>
      <w:pPr>
        <w:spacing w:before="0" w:after="0"/>
        <w:ind w:left="120"/>
        <w:jc w:val="center"/>
      </w:pPr>
      <w:r>
        <w:rPr>
          <w:rFonts w:ascii="Times New Roman" w:hAnsi="Times New Roman"/>
          <w:b w:val="false"/>
          <w:i w:val="false"/>
          <w:color w:val="000000"/>
          <w:sz w:val="21"/>
        </w:rPr>
        <w:t>[Filed ARC 7811C</w:t>
      </w:r>
      <w:r>
        <w:rPr>
          <w:rFonts w:ascii="Times New Roman" w:hAnsi="Times New Roman"/>
          <w:b w:val="false"/>
          <w:i w:val="false"/>
          <w:color w:val="000000"/>
          <w:sz w:val="21"/>
        </w:rPr>
        <w:t xml:space="preserve"> (Notice ARC 7648C, IAB 2/21/24)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pdf" Type="http://schemas.openxmlformats.org/officeDocument/2006/relationships/hyperlink" Id="rId5"/>
    <Relationship TargetMode="External" Target="https://www.legis.iowa.gov/docs/ico/chapter/97B.1A.pdf" Type="http://schemas.openxmlformats.org/officeDocument/2006/relationships/hyperlink" Id="rId6"/>
    <Relationship TargetMode="External" Target="https://www.legis.iowa.gov/docs/ico/chapter/97B.pdf" Type="http://schemas.openxmlformats.org/officeDocument/2006/relationships/hyperlink" Id="rId7"/>
    <Relationship TargetMode="External" Target="https://www.legis.iowa.gov/docs/ico/chapter/97A.pdf" Type="http://schemas.openxmlformats.org/officeDocument/2006/relationships/hyperlink" Id="rId8"/>
    <Relationship TargetMode="External" Target="https://www.legis.iowa.gov/docs/ico/chapter/97A.5.pdf" Type="http://schemas.openxmlformats.org/officeDocument/2006/relationships/hyperlink" Id="rId9"/>
    <Relationship TargetMode="External" Target="https://www.legis.iowa.gov/docs/ico/chapter/97B.pdf" Type="http://schemas.openxmlformats.org/officeDocument/2006/relationships/hyperlink" Id="rId10"/>
    <Relationship TargetMode="External" Target="https://www.legis.iowa.gov/docs/ico/chapter/97B.1A.pdf" Type="http://schemas.openxmlformats.org/officeDocument/2006/relationships/hyperlink" Id="rId11"/>
    <Relationship TargetMode="External" Target="https://www.legis.iowa.gov/docs/ico/chapter/410.pdf" Type="http://schemas.openxmlformats.org/officeDocument/2006/relationships/hyperlink" Id="rId12"/>
    <Relationship TargetMode="External" Target="https://www.legis.iowa.gov/docs/ico/chapter/411.pdf" Type="http://schemas.openxmlformats.org/officeDocument/2006/relationships/hyperlink" Id="rId13"/>
    <Relationship TargetMode="External" Target="https://www.legis.iowa.gov/docs/ico/chapter/80D.pdf" Type="http://schemas.openxmlformats.org/officeDocument/2006/relationships/hyperlink" Id="rId14"/>
    <Relationship TargetMode="External" Target="https://www.legis.iowa.gov/docs/ico/chapter/80D.14.pdf" Type="http://schemas.openxmlformats.org/officeDocument/2006/relationships/hyperlink" Id="rId15"/>
    <Relationship TargetMode="External" Target="https://www.legis.iowa.gov/docs/ico/chapter/411.36.pdf" Type="http://schemas.openxmlformats.org/officeDocument/2006/relationships/hyperlink" Id="rId16"/>
    <Relationship TargetMode="External" Target="https://www.legis.iowa.gov/docs/ico/chapter/411.pdf" Type="http://schemas.openxmlformats.org/officeDocument/2006/relationships/hyperlink" Id="rId17"/>
    <Relationship TargetMode="External" Target="https://www.legis.iowa.gov/docs/ico/chapter/384.6.pdf" Type="http://schemas.openxmlformats.org/officeDocument/2006/relationships/hyperlink" Id="rId18"/>
    <Relationship TargetMode="External" Target="https://www.legis.iowa.gov/docs/ico/chapter/411.3.pdf" Type="http://schemas.openxmlformats.org/officeDocument/2006/relationships/hyperlink" Id="rId19"/>
    <Relationship TargetMode="External" Target="https://www.legis.iowa.gov/docs/ico/chapter/384.6.pdf" Type="http://schemas.openxmlformats.org/officeDocument/2006/relationships/hyperlink" Id="rId20"/>
    <Relationship TargetMode="External" Target="https://www.legis.iowa.gov/docs/ico/chapter/147A.1.pdf" Type="http://schemas.openxmlformats.org/officeDocument/2006/relationships/hyperlink" Id="rId21"/>
    <Relationship TargetMode="External" Target="https://www.legis.iowa.gov/docs/ico/chapter/411.pdf" Type="http://schemas.openxmlformats.org/officeDocument/2006/relationships/hyperlink" Id="rId22"/>
    <Relationship TargetMode="External" Target="https://www.legis.iowa.gov/docs/ico/chapter/97B.1A.pdf" Type="http://schemas.openxmlformats.org/officeDocument/2006/relationships/hyperlink" Id="rId23"/>
    <Relationship TargetMode="External" Target="https://www.legis.iowa.gov/docs/iac/rule/495.5.2.pdf" Type="http://schemas.openxmlformats.org/officeDocument/2006/relationships/hyperlink" Id="rId24"/>
    <Relationship TargetMode="External" Target="https://www.legis.iowa.gov/docs/ico/chapter/28E.pdf" Type="http://schemas.openxmlformats.org/officeDocument/2006/relationships/hyperlink" Id="rId25"/>
    <Relationship TargetMode="External" Target="https://www.legis.iowa.gov/docs/ico/chapter/372.pdf" Type="http://schemas.openxmlformats.org/officeDocument/2006/relationships/hyperlink" Id="rId26"/>
    <Relationship TargetMode="External" Target="https://www.legis.iowa.gov/docs/ico/chapter/420.pdf" Type="http://schemas.openxmlformats.org/officeDocument/2006/relationships/hyperlink" Id="rId27"/>
    <Relationship TargetMode="External" Target="https://www.legis.iowa.gov/docs/ico/chapter/97B.1A.pdf" Type="http://schemas.openxmlformats.org/officeDocument/2006/relationships/hyperlink" Id="rId28"/>
    <Relationship TargetMode="External" Target="https://www.legis.iowa.gov/docs/ico/chapter/97A.pdf" Type="http://schemas.openxmlformats.org/officeDocument/2006/relationships/hyperlink" Id="rId29"/>
    <Relationship TargetMode="External" Target="https://www.legis.iowa.gov/docs/iac/rule/495.5.2.pdf" Type="http://schemas.openxmlformats.org/officeDocument/2006/relationships/hyperlink" Id="rId30"/>
    <Relationship TargetMode="External" Target="https://www.legis.iowa.gov/docs/ico/chapter/97B.49B.pdf" Type="http://schemas.openxmlformats.org/officeDocument/2006/relationships/hyperlink" Id="rId31"/>
    <Relationship TargetMode="External" Target="https://www.legis.iowa.gov/docs/ico/chapter/97B.1A.pdf" Type="http://schemas.openxmlformats.org/officeDocument/2006/relationships/hyperlink" Id="rId32"/>
    <Relationship TargetMode="External" Target="https://www.legis.iowa.gov/docs/ico/chapter/84A.7.pdf" Type="http://schemas.openxmlformats.org/officeDocument/2006/relationships/hyperlink" Id="rId33"/>
    <Relationship TargetMode="External" Target="https://www.legis.iowa.gov/docs/ico/chapter/229.19.pdf" Type="http://schemas.openxmlformats.org/officeDocument/2006/relationships/hyperlink" Id="rId34"/>
    <Relationship TargetMode="External" Target="https://www.legis.iowa.gov/docs/iac/rule/495.5.2.pdf" Type="http://schemas.openxmlformats.org/officeDocument/2006/relationships/hyperlink" Id="rId35"/>
    <Relationship TargetMode="External" Target="https://www.legis.iowa.gov/docs/ico/chapter/97B.1A.pdf" Type="http://schemas.openxmlformats.org/officeDocument/2006/relationships/hyperlink" Id="rId36"/>
    <Relationship TargetMode="External" Target="https://www.legis.iowa.gov/docs/ico/chapter/97B.4.pdf" Type="http://schemas.openxmlformats.org/officeDocument/2006/relationships/hyperlink" Id="rId37"/>
    <Relationship TargetMode="External" Target="https://www.legis.iowa.gov/docs/ico/chapter/97B.42.pdf" Type="http://schemas.openxmlformats.org/officeDocument/2006/relationships/hyperlink" Id="rId38"/>
    <Relationship TargetMode="External" Target="https://www.legis.iowa.gov/docs/ico/chapter/97B.42A.pdf" Type="http://schemas.openxmlformats.org/officeDocument/2006/relationships/hyperlink" Id="rId39"/>
    <Relationship TargetMode="External" Target="https://www.legis.iowa.gov/docs/ico/chapter/97B.49B.pdf" Type="http://schemas.openxmlformats.org/officeDocument/2006/relationships/hyperlink" Id="rId40"/>
    <Relationship TargetMode="External" Target="https://www.legis.iowa.gov/docs/ico/chapter/97B.49C.pdf" Type="http://schemas.openxmlformats.org/officeDocument/2006/relationships/hyperlink" Id="rId41"/>
    <Relationship TargetMode="External" Target="https://www.legis.iowa.gov/docs/ico/chapter/97B.49G.pdf" Type="http://schemas.openxmlformats.org/officeDocument/2006/relationships/hyperlink"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