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QUALIFIED BENEFITS ARRANGEMENT</w:t>
      </w:r>
    </w:p>
    <w:p>
      <w:pPr>
        <w:spacing w:before="0" w:after="0"/>
        <w:ind w:left="120"/>
        <w:jc w:val="center"/>
      </w:pPr>
      <w:r>
        <w:rPr>
          <w:rFonts w:ascii="Times New Roman" w:hAnsi="Times New Roman"/>
          <w:b w:val="false"/>
          <w:i w:val="false"/>
          <w:color w:val="000000"/>
          <w:sz w:val="14"/>
        </w:rPr>
        <w:t>[Prior to 1/7/04, see 581—21.32]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495—32.1</w:t>
      </w:r>
      <w:r>
        <w:rPr>
          <w:rFonts w:ascii="Times New Roman" w:hAnsi="Times New Roman"/>
          <w:b/>
          <w:i w:val="false"/>
          <w:color w:val="000000"/>
          <w:sz w:val="22"/>
        </w:rPr>
        <w:t xml:space="preserve">(97B) </w:t>
      </w:r>
      <w:r>
        <w:rPr>
          <w:rFonts w:ascii="Times New Roman" w:hAnsi="Times New Roman"/>
          <w:b/>
          <w:i w:val="false"/>
          <w:color w:val="000000"/>
          <w:sz w:val="22"/>
        </w:rPr>
        <w:t xml:space="preserve">Qualified benefits arrangement. </w:t>
      </w:r>
      <w:r>
        <w:rPr>
          <w:rFonts w:ascii="Times New Roman" w:hAnsi="Times New Roman"/>
          <w:b w:val="false"/>
          <w:i w:val="false"/>
          <w:color w:val="000000"/>
          <w:sz w:val="22"/>
        </w:rPr>
        <w:t xml:space="preserve">This rule establishes a separate unfunded qualified benefits arrangement (QBA) as provided for in Iowa Code section </w:t>
      </w:r>
      <w:hyperlink r:id="rId5">
        <w:r>
          <w:rPr>
            <w:rStyle w:val="Hyperlink"/>
            <w:rFonts w:ascii="Times New Roman" w:hAnsi="Times New Roman"/>
            <w:b w:val="false"/>
            <w:i w:val="false"/>
            <w:color w:val="000000"/>
            <w:sz w:val="22"/>
          </w:rPr>
          <w:t>97B.49I</w:t>
        </w:r>
      </w:hyperlink>
      <w:r>
        <w:rPr>
          <w:rFonts w:ascii="Times New Roman" w:hAnsi="Times New Roman"/>
          <w:b w:val="false"/>
          <w:i w:val="false"/>
          <w:color w:val="000000"/>
          <w:sz w:val="22"/>
        </w:rPr>
        <w:t xml:space="preserve">. This arrangement is established for the sole purpose of enabling IPERS to continue to apply the same formula for determining benefits payable to all employees covered by the retirement system created under Iowa Code chapter </w:t>
      </w:r>
      <w:hyperlink r:id="rId6">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including those whose benefits are limited by Section 415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val="false"/>
          <w:color w:val="000000"/>
          <w:sz w:val="22"/>
        </w:rPr>
        <w:t>The agency shall administer the QBA</w:t>
      </w:r>
      <w:r>
        <w:rPr>
          <w:rFonts w:ascii="Times New Roman" w:hAnsi="Times New Roman"/>
          <w:b w:val="false"/>
          <w:i/>
          <w:color w:val="000000"/>
          <w:sz w:val="22"/>
        </w:rPr>
        <w:t xml:space="preserve">. </w:t>
      </w:r>
      <w:r>
        <w:rPr>
          <w:rFonts w:ascii="Times New Roman" w:hAnsi="Times New Roman"/>
          <w:b w:val="false"/>
          <w:i w:val="false"/>
          <w:color w:val="000000"/>
          <w:sz w:val="22"/>
        </w:rPr>
        <w:t>The agency has full discretionary authority to determine all questions arising in connection with the QBA, including its interpretation and any factual questions arising under the QBA. Further, the agency has full authority to make modifications to the benefits payable under the QBA as may be necessary to maintain the QBA’s qualification under Section 415(m)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val="false"/>
          <w:color w:val="000000"/>
          <w:sz w:val="22"/>
        </w:rPr>
        <w:t>All members, retired members, and beneficiaries of the agency are eligible to participate in the QBA if their benefits would exceed the limitation imposed by Section 415 of the Internal Revenue Code. Participation is determined for each plan year, and participation shall cease for any plan year in which the benefit of a retiree or beneficiary is not limited by Section 415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32.1(3)</w:t>
      </w:r>
      <w:r>
        <w:rPr>
          <w:rFonts w:ascii="Times New Roman" w:hAnsi="Times New Roman"/>
          <w:b w:val="false"/>
          <w:i w:val="false"/>
          <w:color w:val="000000"/>
          <w:sz w:val="22"/>
        </w:rPr>
        <w:t> </w:t>
      </w:r>
      <w:r>
        <w:rPr>
          <w:rFonts w:ascii="Times New Roman" w:hAnsi="Times New Roman"/>
          <w:b w:val="false"/>
          <w:i w:val="false"/>
          <w:color w:val="000000"/>
          <w:sz w:val="22"/>
        </w:rPr>
        <w:t>On and after the effective date of the QBA, the agency shall pay to each eligible retiree and beneficiary a supplemental pension benefit equal to the difference between the retiree’s or beneficiary’s monthly benefit otherwise payable from the agency prior to any reduction or limitation because of Section 415 of the Internal Revenue Code and the actual monthly benefit payable from the agency as limited by Section 415. The agency shall compute and pay the supplemental pension benefits in the same form, at the same time, and to the same persons as such benefits would have otherwise been paid as a monthly pension under the agency except for the IRC Section 415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shall determine the amount of benefits that cannot be provided under the agency because of the limitations of Section 415 of the Internal Revenue Code, and the amount of contributions that must be made to the QBA as a separate fund within the retirement fund created in Iowa Code section </w:t>
      </w:r>
      <w:hyperlink r:id="rId7">
        <w:r>
          <w:rPr>
            <w:rStyle w:val="Hyperlink"/>
            <w:rFonts w:ascii="Times New Roman" w:hAnsi="Times New Roman"/>
            <w:b w:val="false"/>
            <w:i w:val="false"/>
            <w:color w:val="000000"/>
            <w:sz w:val="22"/>
          </w:rPr>
          <w:t>97B.7</w:t>
        </w:r>
      </w:hyperlink>
      <w:r>
        <w:rPr>
          <w:rFonts w:ascii="Times New Roman" w:hAnsi="Times New Roman"/>
          <w:b w:val="false"/>
          <w:i w:val="false"/>
          <w:color w:val="000000"/>
          <w:sz w:val="22"/>
        </w:rPr>
        <w:t>. If applicable, fees for the actuary’s service shall be paid by the applicable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32.1(5)</w:t>
      </w:r>
      <w:r>
        <w:rPr>
          <w:rFonts w:ascii="Times New Roman" w:hAnsi="Times New Roman"/>
          <w:b w:val="false"/>
          <w:i w:val="false"/>
          <w:color w:val="000000"/>
          <w:sz w:val="22"/>
        </w:rPr>
        <w:t> </w:t>
      </w:r>
      <w:r>
        <w:rPr>
          <w:rFonts w:ascii="Times New Roman" w:hAnsi="Times New Roman"/>
          <w:b w:val="false"/>
          <w:i w:val="false"/>
          <w:color w:val="000000"/>
          <w:sz w:val="22"/>
        </w:rPr>
        <w:t xml:space="preserve">Contributions shall not be accumulated under this QBA to pay future supplemental pension benefits. Instead, each payment of contributions by the applicable employer that would otherwise be made to the agency shall be reduced by the amount necessary to pay supplemental pension benefits and administrative expenses of the QBA. The employer shall pay to this QBA the contributions necessary to pay the required supplemental pension payments, and these contributions will be deposited in a separate fund which is a portion of the retirement fund established under Iowa Code section </w:t>
      </w:r>
      <w:hyperlink r:id="rId8">
        <w:r>
          <w:rPr>
            <w:rStyle w:val="Hyperlink"/>
            <w:rFonts w:ascii="Times New Roman" w:hAnsi="Times New Roman"/>
            <w:b w:val="false"/>
            <w:i w:val="false"/>
            <w:color w:val="000000"/>
            <w:sz w:val="22"/>
          </w:rPr>
          <w:t>97B.7</w:t>
        </w:r>
      </w:hyperlink>
      <w:r>
        <w:rPr>
          <w:rFonts w:ascii="Times New Roman" w:hAnsi="Times New Roman"/>
          <w:b w:val="false"/>
          <w:i w:val="false"/>
          <w:color w:val="000000"/>
          <w:sz w:val="22"/>
        </w:rPr>
        <w:t xml:space="preserve"> and administered by the agency. This fund is intended to be exempt from federal income tax under Sections 115 and 415(m) of the Internal Revenue Code. The agency shall pay the required supplemental pension benefits to the member out of the employer contributions so transferred. The employer contributions otherwise required under the terms of Iowa Code sections </w:t>
      </w:r>
      <w:hyperlink r:id="rId9">
        <w:r>
          <w:rPr>
            <w:rStyle w:val="Hyperlink"/>
            <w:rFonts w:ascii="Times New Roman" w:hAnsi="Times New Roman"/>
            <w:b w:val="false"/>
            <w:i w:val="false"/>
            <w:color w:val="000000"/>
            <w:sz w:val="22"/>
          </w:rPr>
          <w:t>97B.11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shall be divided into those contributions required to pay supplemental pension benefits hereunder, and those contributions paid into and accumulated in the retirement fund created at Iowa Code section </w:t>
      </w:r>
      <w:hyperlink r:id="rId12">
        <w:r>
          <w:rPr>
            <w:rStyle w:val="Hyperlink"/>
            <w:rFonts w:ascii="Times New Roman" w:hAnsi="Times New Roman"/>
            <w:b w:val="false"/>
            <w:i w:val="false"/>
            <w:color w:val="000000"/>
            <w:sz w:val="22"/>
          </w:rPr>
          <w:t>97B.7</w:t>
        </w:r>
      </w:hyperlink>
      <w:r>
        <w:rPr>
          <w:rFonts w:ascii="Times New Roman" w:hAnsi="Times New Roman"/>
          <w:b w:val="false"/>
          <w:i w:val="false"/>
          <w:color w:val="000000"/>
          <w:sz w:val="22"/>
        </w:rPr>
        <w:t xml:space="preserve"> to pay the maximum benefits permitted. Employer contributions made to a separate fund to provide supplemental pension benefits shall not be commingled with the contributions paid into and accumulated in the retirement fund created at Iowa Code section </w:t>
      </w:r>
      <w:hyperlink r:id="rId13">
        <w:r>
          <w:rPr>
            <w:rStyle w:val="Hyperlink"/>
            <w:rFonts w:ascii="Times New Roman" w:hAnsi="Times New Roman"/>
            <w:b w:val="false"/>
            <w:i w:val="false"/>
            <w:color w:val="000000"/>
            <w:sz w:val="22"/>
          </w:rPr>
          <w:t>97B.7</w:t>
        </w:r>
      </w:hyperlink>
      <w:r>
        <w:rPr>
          <w:rFonts w:ascii="Times New Roman" w:hAnsi="Times New Roman"/>
          <w:b w:val="false"/>
          <w:i w:val="false"/>
          <w:color w:val="000000"/>
          <w:sz w:val="22"/>
        </w:rPr>
        <w:t>. The supplemental pension benefit liability shall be funded on a plan-year-to-plan-year basis. Any assets of the separate QBA fund not used for paying benefits for a current plan year shall be used, as determined by the agency, for the payment of administrative expenses of the QBA for the plan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w:t>
      </w:r>
      <w:r>
        <w:rPr>
          <w:rFonts w:ascii="Times New Roman" w:hAnsi="Times New Roman"/>
          <w:b w:val="false"/>
          <w:i w:val="false"/>
          <w:color w:val="000000"/>
          <w:sz w:val="22"/>
        </w:rPr>
        <w:t> </w:t>
      </w:r>
      <w:r>
        <w:rPr>
          <w:rFonts w:ascii="Times New Roman" w:hAnsi="Times New Roman"/>
          <w:b w:val="false"/>
          <w:i w:val="false"/>
          <w:color w:val="000000"/>
          <w:sz w:val="22"/>
        </w:rPr>
        <w:t>A member cannot elect to defer the receipt of all or any part of the payments due under this QBA.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under this rule are exempt from garnishment, assignment, attachment, alienation, judgments, and other legal processes to the same extent as provided under Iowa Code section </w:t>
      </w:r>
      <w:hyperlink r:id="rId14">
        <w:r>
          <w:rPr>
            <w:rStyle w:val="Hyperlink"/>
            <w:rFonts w:ascii="Times New Roman" w:hAnsi="Times New Roman"/>
            <w:b w:val="false"/>
            <w:i w:val="false"/>
            <w:color w:val="000000"/>
            <w:sz w:val="22"/>
          </w:rPr>
          <w:t>97B.39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32.1(8)</w:t>
      </w:r>
      <w:r>
        <w:rPr>
          <w:rFonts w:ascii="Times New Roman" w:hAnsi="Times New Roman"/>
          <w:b w:val="false"/>
          <w:i w:val="false"/>
          <w:color w:val="000000"/>
          <w:sz w:val="22"/>
        </w:rPr>
        <w:t> </w:t>
      </w:r>
      <w:r>
        <w:rPr>
          <w:rFonts w:ascii="Times New Roman" w:hAnsi="Times New Roman"/>
          <w:b w:val="false"/>
          <w:i w:val="false"/>
          <w:color w:val="000000"/>
          <w:sz w:val="22"/>
        </w:rPr>
        <w:t>Nothing herein shall be construed as providing for assets to be held in trust or escrow or any form of asset segregation for members, retirees, or beneficiaries. To the extent any person acquires the right to receive benefits under this QBA, the right shall be no greater than the right of any unsecured general creditor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32.1(9)</w:t>
      </w:r>
      <w:r>
        <w:rPr>
          <w:rFonts w:ascii="Times New Roman" w:hAnsi="Times New Roman"/>
          <w:b w:val="false"/>
          <w:i w:val="false"/>
          <w:color w:val="000000"/>
          <w:sz w:val="22"/>
        </w:rPr>
        <w:t> </w:t>
      </w:r>
      <w:r>
        <w:rPr>
          <w:rFonts w:ascii="Times New Roman" w:hAnsi="Times New Roman"/>
          <w:b w:val="false"/>
          <w:i w:val="false"/>
          <w:color w:val="000000"/>
          <w:sz w:val="22"/>
        </w:rPr>
        <w:t>This QBA is a portion of a governmental plan as defined in Section 414(d) of the Internal Revenue Code, is intended to meet the requirements of Internal Revenue Code Sections 115 and 415(m), and shall be so interpreted and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32.1(10)</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Amounts deducted from employer contributions and deposited in the separate QBA fund shall not reduce the amounts that are to be credited to employer contribution accounts under Iowa Code sections </w:t>
      </w:r>
      <w:hyperlink r:id="rId15">
        <w:r>
          <w:rPr>
            <w:rStyle w:val="Hyperlink"/>
            <w:rFonts w:ascii="Times New Roman" w:hAnsi="Times New Roman"/>
            <w:b w:val="false"/>
            <w:i w:val="false"/>
            <w:color w:val="000000"/>
            <w:sz w:val="22"/>
          </w:rPr>
          <w:t>97B.11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97B.49I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49I.pdf" Type="http://schemas.openxmlformats.org/officeDocument/2006/relationships/hyperlink" Id="rId5"/>
    <Relationship TargetMode="External" Target="https://www.legis.iowa.gov/docs/ico/chapter/97B.pdf" Type="http://schemas.openxmlformats.org/officeDocument/2006/relationships/hyperlink" Id="rId6"/>
    <Relationship TargetMode="External" Target="https://www.legis.iowa.gov/docs/ico/chapter/97B.7.pdf" Type="http://schemas.openxmlformats.org/officeDocument/2006/relationships/hyperlink" Id="rId7"/>
    <Relationship TargetMode="External" Target="https://www.legis.iowa.gov/docs/ico/chapter/97B.7.pdf" Type="http://schemas.openxmlformats.org/officeDocument/2006/relationships/hyperlink" Id="rId8"/>
    <Relationship TargetMode="External" Target="https://www.legis.iowa.gov/docs/ico/chapter/97B.11.pdf" Type="http://schemas.openxmlformats.org/officeDocument/2006/relationships/hyperlink" Id="rId9"/>
    <Relationship TargetMode="External" Target="https://www.legis.iowa.gov/docs/ico/chapter/97B.49B.pdf" Type="http://schemas.openxmlformats.org/officeDocument/2006/relationships/hyperlink" Id="rId10"/>
    <Relationship TargetMode="External" Target="https://www.legis.iowa.gov/docs/ico/chapter/97B.49C.pdf" Type="http://schemas.openxmlformats.org/officeDocument/2006/relationships/hyperlink" Id="rId11"/>
    <Relationship TargetMode="External" Target="https://www.legis.iowa.gov/docs/ico/chapter/97B.7.pdf" Type="http://schemas.openxmlformats.org/officeDocument/2006/relationships/hyperlink" Id="rId12"/>
    <Relationship TargetMode="External" Target="https://www.legis.iowa.gov/docs/ico/chapter/97B.7.pdf" Type="http://schemas.openxmlformats.org/officeDocument/2006/relationships/hyperlink" Id="rId13"/>
    <Relationship TargetMode="External" Target="https://www.legis.iowa.gov/docs/ico/chapter/97B.39.pdf" Type="http://schemas.openxmlformats.org/officeDocument/2006/relationships/hyperlink" Id="rId14"/>
    <Relationship TargetMode="External" Target="https://www.legis.iowa.gov/docs/ico/chapter/97B.11.pdf" Type="http://schemas.openxmlformats.org/officeDocument/2006/relationships/hyperlink" Id="rId15"/>
    <Relationship TargetMode="External" Target="https://www.legis.iowa.gov/docs/ico/chapter/97B.49B.pdf" Type="http://schemas.openxmlformats.org/officeDocument/2006/relationships/hyperlink" Id="rId16"/>
    <Relationship TargetMode="External" Target="https://www.legis.iowa.gov/docs/ico/chapter/97B.49C.pdf" Type="http://schemas.openxmlformats.org/officeDocument/2006/relationships/hyperlink" Id="rId17"/>
    <Relationship TargetMode="External" Target="https://www.legis.iowa.gov/docs/ico/chapter/97B.49I.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