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by the agency, including vendor appeals. However, this chapter does not apply to the extent that a claim being addressed by the agency is governed by Iowa Code chapter </w:t>
      </w:r>
      <w:hyperlink r:id="rId8">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or if the competitive solicitation will be paid for with investment management expenses charged to the investment income of the retirement fund as set forth in Iowa Code section </w:t>
      </w:r>
      <w:hyperlink r:id="rId9">
        <w:r>
          <w:rPr>
            <w:rStyle w:val="Hyperlink"/>
            <w:rFonts w:ascii="Times New Roman" w:hAnsi="Times New Roman"/>
            <w:b w:val="false"/>
            <w:i w:val="false"/>
            <w:color w:val="000000"/>
            <w:sz w:val="22"/>
          </w:rPr>
          <w:t>97B.7(3)</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administrative law judge designated pursuant to Iowa Code section </w:t>
      </w:r>
      <w:hyperlink r:id="rId10">
        <w:r>
          <w:rPr>
            <w:rStyle w:val="Hyperlink"/>
            <w:rFonts w:ascii="Times New Roman" w:hAnsi="Times New Roman"/>
            <w:b w:val="false"/>
            <w:i w:val="false"/>
            <w:color w:val="000000"/>
            <w:sz w:val="22"/>
          </w:rPr>
          <w:t>97B.20B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495—2506.14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2506.14(1)</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 xml:space="preserve">Any adversely affected party may appeal a proposed decision to the employment appeal board as provided in Iowa Code section </w:t>
      </w:r>
      <w:hyperlink r:id="rId11">
        <w:r>
          <w:rPr>
            <w:rStyle w:val="Hyperlink"/>
            <w:rFonts w:ascii="Times New Roman" w:hAnsi="Times New Roman"/>
            <w:b w:val="false"/>
            <w:i w:val="false"/>
            <w:color w:val="000000"/>
            <w:sz w:val="22"/>
          </w:rPr>
          <w:t>97B.27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 xml:space="preserve">An appeal of a proposed decision is initiated by filing a timely notice of appeal with the employment appeal board as provided in Iowa Code section </w:t>
      </w:r>
      <w:hyperlink r:id="rId12">
        <w:r>
          <w:rPr>
            <w:rStyle w:val="Hyperlink"/>
            <w:rFonts w:ascii="Times New Roman" w:hAnsi="Times New Roman"/>
            <w:b w:val="false"/>
            <w:i w:val="false"/>
            <w:color w:val="000000"/>
            <w:sz w:val="22"/>
          </w:rPr>
          <w:t>97B.27</w:t>
        </w:r>
      </w:hyperlink>
      <w:r>
        <w:rPr>
          <w:rFonts w:ascii="Times New Roman" w:hAnsi="Times New Roman"/>
          <w:b w:val="false"/>
          <w:i w:val="false"/>
          <w:color w:val="000000"/>
          <w:sz w:val="22"/>
        </w:rPr>
        <w:t>.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employment appeal board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employment appeal board may resolve the appeal on the briefs or provide an opportunity for oral argument. The employment appeal board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0442D, IAB 7/8/26, effective 6/30/26]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97B.pdf" Type="http://schemas.openxmlformats.org/officeDocument/2006/relationships/hyperlink" Id="rId8"/>
    <Relationship TargetMode="External" Target="https://www.legis.iowa.gov/docs/ico/chapter/97B.7.pdf" Type="http://schemas.openxmlformats.org/officeDocument/2006/relationships/hyperlink" Id="rId9"/>
    <Relationship TargetMode="External" Target="https://www.legis.iowa.gov/docs/ico/chapter/97B.20B.pdf" Type="http://schemas.openxmlformats.org/officeDocument/2006/relationships/hyperlink" Id="rId10"/>
    <Relationship TargetMode="External" Target="https://www.legis.iowa.gov/docs/ico/chapter/97B.27.pdf" Type="http://schemas.openxmlformats.org/officeDocument/2006/relationships/hyperlink" Id="rId11"/>
    <Relationship TargetMode="External" Target="https://www.legis.iowa.gov/docs/ico/chapter/97B.27.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