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22</w:t>
      </w:r>
    </w:p>
    <w:p>
      <w:pPr>
        <w:spacing w:before="0" w:after="0"/>
        <w:ind w:left="120"/>
        <w:jc w:val="center"/>
      </w:pPr>
      <w:r>
        <w:rPr>
          <w:rFonts w:ascii="Times New Roman" w:hAnsi="Times New Roman"/>
          <w:b w:val="false"/>
          <w:i w:val="false"/>
          <w:color w:val="000000"/>
          <w:sz w:val="21"/>
        </w:rPr>
        <w:t>FEDERAL SOCIAL SECURITY</w:t>
      </w:r>
    </w:p>
    <w:p>
      <w:pPr>
        <w:spacing w:before="0" w:after="0"/>
        <w:ind w:left="120"/>
        <w:jc w:val="center"/>
      </w:pPr>
      <w:r>
        <w:rPr>
          <w:rFonts w:ascii="Times New Roman" w:hAnsi="Times New Roman"/>
          <w:b w:val="false"/>
          <w:i w:val="false"/>
          <w:color w:val="000000"/>
          <w:sz w:val="14"/>
        </w:rPr>
        <w:t>[Prior to 1/7/04, see 581—Ch 22]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495—22.1</w:t>
      </w:r>
      <w:r>
        <w:rPr>
          <w:rFonts w:ascii="Times New Roman" w:hAnsi="Times New Roman"/>
          <w:b/>
          <w:i w:val="false"/>
          <w:color w:val="000000"/>
          <w:sz w:val="22"/>
        </w:rPr>
        <w:t xml:space="preserve">(97C) </w:t>
      </w:r>
      <w:r>
        <w:rPr>
          <w:rFonts w:ascii="Times New Roman" w:hAnsi="Times New Roman"/>
          <w:b/>
          <w:i w:val="false"/>
          <w:color w:val="000000"/>
          <w:sz w:val="22"/>
        </w:rPr>
        <w:t xml:space="preserve">General. </w:t>
      </w:r>
      <w:r>
        <w:rPr>
          <w:rFonts w:ascii="Times New Roman" w:hAnsi="Times New Roman"/>
          <w:b w:val="false"/>
          <w:i w:val="false"/>
          <w:color w:val="000000"/>
          <w:sz w:val="22"/>
        </w:rPr>
        <w:t xml:space="preserve">In order to extend to the employees of the state of Iowa and its political subdivisions, agencies and instrumentalities the basic protections accorded by the old-age and survivors system embodied in Title II of the federal Social Security Act, on July 1, 1953, the state of Iowa signed a Section 218 Agreement with the Social Security Administration. That Section 218 Agreement, as implemented in Iowa Code chapter </w:t>
      </w:r>
      <w:hyperlink r:id="rId5">
        <w:r>
          <w:rPr>
            <w:rStyle w:val="Hyperlink"/>
            <w:rFonts w:ascii="Times New Roman" w:hAnsi="Times New Roman"/>
            <w:b w:val="false"/>
            <w:i w:val="false"/>
            <w:color w:val="000000"/>
            <w:sz w:val="22"/>
          </w:rPr>
          <w:t>97C</w:t>
        </w:r>
      </w:hyperlink>
      <w:r>
        <w:rPr>
          <w:rFonts w:ascii="Times New Roman" w:hAnsi="Times New Roman"/>
          <w:b w:val="false"/>
          <w:i w:val="false"/>
          <w:color w:val="000000"/>
          <w:sz w:val="22"/>
        </w:rPr>
        <w:t>, provides Social Security mandates and federal Social Security coverage for most Iowa public employees.</w:t>
      </w:r>
    </w:p>
    <w:p>
      <w:pPr>
        <w:spacing w:before="210" w:after="0"/>
        <w:ind w:left="120"/>
        <w:jc w:val="both"/>
      </w:pPr>
      <w:r>
        <w:rPr>
          <w:rFonts w:ascii="Times New Roman" w:hAnsi="Times New Roman"/>
          <w:b/>
          <w:i w:val="false"/>
          <w:color w:val="000000"/>
          <w:sz w:val="22"/>
        </w:rPr>
        <w:t>495—22.2</w:t>
      </w:r>
      <w:r>
        <w:rPr>
          <w:rFonts w:ascii="Times New Roman" w:hAnsi="Times New Roman"/>
          <w:b/>
          <w:i w:val="false"/>
          <w:color w:val="000000"/>
          <w:sz w:val="22"/>
        </w:rPr>
        <w:t xml:space="preserve">(97C) </w:t>
      </w:r>
      <w:r>
        <w:rPr>
          <w:rFonts w:ascii="Times New Roman" w:hAnsi="Times New Roman"/>
          <w:b/>
          <w:i w:val="false"/>
          <w:color w:val="000000"/>
          <w:sz w:val="22"/>
        </w:rPr>
        <w:t xml:space="preserve">Pre-January 1, 1987, duties. </w:t>
      </w:r>
      <w:r>
        <w:rPr>
          <w:rFonts w:ascii="Times New Roman" w:hAnsi="Times New Roman"/>
          <w:b w:val="false"/>
          <w:i w:val="false"/>
          <w:color w:val="000000"/>
          <w:sz w:val="22"/>
        </w:rPr>
        <w:t>Prior to January 1, 1987, the agency had substantial responsibilities for administering withholding, depositing and reporting requirements for Social Security and Medicare taxes, including audit, tax collection, and dispute resolution responsibilities. Effective January 1, 1987, those responsibilities were mostly transferred to the federal Internal Revenue Service. Accordingly, the agency will assist employers with respect to wage reports, tax collections and adjustments only for the period prior to January 1, 1987.</w:t>
      </w:r>
    </w:p>
    <w:p>
      <w:pPr>
        <w:spacing w:before="0" w:after="0"/>
        <w:ind w:left="120"/>
        <w:jc w:val="both"/>
      </w:pPr>
      <w:r>
        <w:rPr>
          <w:rFonts w:ascii="Times New Roman" w:hAnsi="Times New Roman"/>
          <w:b/>
          <w:i w:val="false"/>
          <w:color w:val="000000"/>
          <w:sz w:val="22"/>
        </w:rPr>
        <w:t>495—22.3</w:t>
      </w:r>
      <w:r>
        <w:rPr>
          <w:rFonts w:ascii="Times New Roman" w:hAnsi="Times New Roman"/>
          <w:b/>
          <w:i w:val="false"/>
          <w:color w:val="000000"/>
          <w:sz w:val="22"/>
        </w:rPr>
        <w:t xml:space="preserve">(97C) </w:t>
      </w:r>
      <w:r>
        <w:rPr>
          <w:rFonts w:ascii="Times New Roman" w:hAnsi="Times New Roman"/>
          <w:b/>
          <w:i w:val="false"/>
          <w:color w:val="000000"/>
          <w:sz w:val="22"/>
        </w:rPr>
        <w:t xml:space="preserve">Post-January 1, 1987, duties.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22.3(1)</w:t>
      </w:r>
      <w:r>
        <w:rPr>
          <w:rFonts w:ascii="Times New Roman" w:hAnsi="Times New Roman"/>
          <w:b w:val="false"/>
          <w:i w:val="false"/>
          <w:color w:val="000000"/>
          <w:sz w:val="22"/>
        </w:rPr>
        <w:t> </w:t>
      </w:r>
      <w:r>
        <w:rPr>
          <w:rFonts w:ascii="Times New Roman" w:hAnsi="Times New Roman"/>
          <w:b w:val="false"/>
          <w:i w:val="false"/>
          <w:color w:val="000000"/>
          <w:sz w:val="22"/>
        </w:rPr>
        <w:t>The agency’s responsibilities under the Section 218 Agreement are to administer and maintain the Section 218 Agreement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Maintaining physical custody of the master Section 218 Agreement, modifications, dissolutions, consolidations and intrastate and interstate coverage agreements.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Preparing Section 218 Agreement modifications to include additional covered employers, following the employer’s submission of an IPERS Status Report form indicating the employer should be covered under the Iowa Public Employees’ Retirement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Preparing Section 218 Agreement modifications to include additional coverage groups of employees when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Preparing Section 218 Agreement modifications to remove covered employers, coverage groups, and to correct errors in prior modifications.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Providing advice on Section 218 Agreement optional exclusions applicable to Iowa employers and employees and advice on Iowa Code chapter </w:t>
      </w:r>
      <w:hyperlink r:id="rId6">
        <w:r>
          <w:rPr>
            <w:rStyle w:val="Hyperlink"/>
            <w:rFonts w:ascii="Times New Roman" w:hAnsi="Times New Roman"/>
            <w:b w:val="false"/>
            <w:i w:val="false"/>
            <w:color w:val="000000"/>
            <w:sz w:val="22"/>
          </w:rPr>
          <w:t>97C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Providing the Social Security Administration with notice and supporting evidence of the legal dissolution or consolidation of covered entities.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Assisting with referenda for Social Security and Medicare coverage as set forth in Iowa Code chapter </w:t>
      </w:r>
      <w:hyperlink r:id="rId7">
        <w:r>
          <w:rPr>
            <w:rStyle w:val="Hyperlink"/>
            <w:rFonts w:ascii="Times New Roman" w:hAnsi="Times New Roman"/>
            <w:b w:val="false"/>
            <w:i w:val="false"/>
            <w:color w:val="000000"/>
            <w:sz w:val="22"/>
          </w:rPr>
          <w:t>97C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Assisting in the resolution of coverage and taxation questions associated with the Section 218 Agreement and modifications.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Negotiating with the Social Security Administration to resolve contribution payment and wage reporting issues concerning wages paid before January 1, 1987.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Advising covered employers on Social Security and Medicare tax and withholding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Serving as a bridge between covered employers and the Social Security Administration and the IRS by obtaining clarifications of laws, regulations and other appropriate information from other State Social Security administrators, the Social Security Administration, and the Internal Revenue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22.3(2)</w:t>
      </w:r>
      <w:r>
        <w:rPr>
          <w:rFonts w:ascii="Times New Roman" w:hAnsi="Times New Roman"/>
          <w:b w:val="false"/>
          <w:i w:val="false"/>
          <w:color w:val="000000"/>
          <w:sz w:val="22"/>
        </w:rPr>
        <w:t> </w:t>
      </w:r>
      <w:r>
        <w:rPr>
          <w:rFonts w:ascii="Times New Roman" w:hAnsi="Times New Roman"/>
          <w:b w:val="false"/>
          <w:i w:val="false"/>
          <w:color w:val="000000"/>
          <w:sz w:val="22"/>
        </w:rPr>
        <w:t>IPERS shall have no responsibility for Social Security and Medicare matters involving non-Section 218 Agreement employers and employees.</w:t>
      </w:r>
    </w:p>
    <w:p>
      <w:pPr>
        <w:spacing w:before="210" w:after="0"/>
        <w:ind w:left="120"/>
        <w:jc w:val="both"/>
      </w:pPr>
      <w:r>
        <w:rPr>
          <w:rFonts w:ascii="Times New Roman" w:hAnsi="Times New Roman"/>
          <w:b/>
          <w:i w:val="false"/>
          <w:color w:val="000000"/>
          <w:sz w:val="22"/>
        </w:rPr>
        <w:t>495—22.4</w:t>
      </w:r>
      <w:r>
        <w:rPr>
          <w:rFonts w:ascii="Times New Roman" w:hAnsi="Times New Roman"/>
          <w:b/>
          <w:i w:val="false"/>
          <w:color w:val="000000"/>
          <w:sz w:val="22"/>
        </w:rPr>
        <w:t xml:space="preserve">(97C) </w:t>
      </w:r>
      <w:r>
        <w:rPr>
          <w:rFonts w:ascii="Times New Roman" w:hAnsi="Times New Roman"/>
          <w:b/>
          <w:i w:val="false"/>
          <w:color w:val="000000"/>
          <w:sz w:val="22"/>
        </w:rPr>
        <w:t xml:space="preserve">Reports. </w:t>
      </w:r>
      <w:r>
        <w:rPr>
          <w:rFonts w:ascii="Times New Roman" w:hAnsi="Times New Roman"/>
          <w:b w:val="false"/>
          <w:i w:val="false"/>
          <w:color w:val="000000"/>
          <w:sz w:val="22"/>
        </w:rPr>
        <w:t>To assist IPERS in fulfilling its responsibilities hereunder, all covered employers shall provide such reports as IPERS may reasonably require. This reporting requirement is in addition to and does not supersede any federal reporting or other obligations imposed on covered employers in order for them to comply with the current and future withholding, reporting and submission of Social Security and Medicare taxes.</w:t>
      </w:r>
    </w:p>
    <w:p>
      <w:pPr>
        <w:spacing w:before="210" w:after="0"/>
        <w:ind w:left="120"/>
        <w:jc w:val="both"/>
      </w:pPr>
      <w:r>
        <w:rPr>
          <w:rFonts w:ascii="Times New Roman" w:hAnsi="Times New Roman"/>
          <w:b/>
          <w:i w:val="false"/>
          <w:color w:val="000000"/>
          <w:sz w:val="22"/>
        </w:rPr>
        <w:t>495—22.5</w:t>
      </w:r>
      <w:r>
        <w:rPr>
          <w:rFonts w:ascii="Times New Roman" w:hAnsi="Times New Roman"/>
          <w:b/>
          <w:i w:val="false"/>
          <w:color w:val="000000"/>
          <w:sz w:val="22"/>
        </w:rPr>
        <w:t xml:space="preserve">(97C) </w:t>
      </w:r>
      <w:r>
        <w:rPr>
          <w:rFonts w:ascii="Times New Roman" w:hAnsi="Times New Roman"/>
          <w:b/>
          <w:i w:val="false"/>
          <w:color w:val="000000"/>
          <w:sz w:val="22"/>
        </w:rPr>
        <w:t xml:space="preserve">Conflict of laws. </w:t>
      </w:r>
      <w:r>
        <w:rPr>
          <w:rFonts w:ascii="Times New Roman" w:hAnsi="Times New Roman"/>
          <w:b w:val="false"/>
          <w:i w:val="false"/>
          <w:color w:val="000000"/>
          <w:sz w:val="22"/>
        </w:rPr>
        <w:t xml:space="preserve">In the event of any conflict between Iowa Code chapter </w:t>
      </w:r>
      <w:hyperlink r:id="rId8">
        <w:r>
          <w:rPr>
            <w:rStyle w:val="Hyperlink"/>
            <w:rFonts w:ascii="Times New Roman" w:hAnsi="Times New Roman"/>
            <w:b w:val="false"/>
            <w:i w:val="false"/>
            <w:color w:val="000000"/>
            <w:sz w:val="22"/>
          </w:rPr>
          <w:t>97C</w:t>
        </w:r>
      </w:hyperlink>
      <w:r>
        <w:rPr>
          <w:rFonts w:ascii="Times New Roman" w:hAnsi="Times New Roman"/>
          <w:b w:val="false"/>
          <w:i w:val="false"/>
          <w:color w:val="000000"/>
          <w:sz w:val="22"/>
        </w:rPr>
        <w:t>, these rules, and the provisions of the Social Security Act, the provisions of the Social Security Act, as amended, shall be controlling.</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9">
        <w:r>
          <w:rPr>
            <w:rStyle w:val="Hyperlink"/>
            <w:rFonts w:ascii="Times New Roman" w:hAnsi="Times New Roman"/>
            <w:b w:val="false"/>
            <w:i w:val="false"/>
            <w:color w:val="000000"/>
            <w:sz w:val="22"/>
          </w:rPr>
          <w:t>97C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10/28/75, Notice 9/22/75—published 11/17/75, effective 12/23/75]</w:t>
      </w:r>
    </w:p>
    <w:p>
      <w:pPr>
        <w:spacing w:before="0" w:after="0"/>
        <w:ind w:left="120"/>
        <w:jc w:val="center"/>
      </w:pPr>
      <w:r>
        <w:rPr>
          <w:rFonts w:ascii="Times New Roman" w:hAnsi="Times New Roman"/>
          <w:b w:val="false"/>
          <w:i w:val="false"/>
          <w:color w:val="000000"/>
          <w:sz w:val="21"/>
        </w:rPr>
        <w:t>[Filed 7/19/79, Notice 6/13/79—published 8/8/79, effective 9/12/79]</w:t>
      </w:r>
    </w:p>
    <w:p>
      <w:pPr>
        <w:spacing w:before="0" w:after="0"/>
        <w:ind w:left="120"/>
        <w:jc w:val="center"/>
      </w:pPr>
      <w:r>
        <w:rPr>
          <w:rFonts w:ascii="Times New Roman" w:hAnsi="Times New Roman"/>
          <w:b w:val="false"/>
          <w:i w:val="false"/>
          <w:color w:val="000000"/>
          <w:sz w:val="21"/>
        </w:rPr>
        <w:t>[Filed 11/19/80, Notice 9/3/80—published 12/10/80, effective 1/14/81]</w:t>
      </w:r>
    </w:p>
    <w:p>
      <w:pPr>
        <w:spacing w:before="0" w:after="0"/>
        <w:ind w:left="120"/>
        <w:jc w:val="center"/>
      </w:pPr>
      <w:r>
        <w:rPr>
          <w:rFonts w:ascii="Times New Roman" w:hAnsi="Times New Roman"/>
          <w:b w:val="false"/>
          <w:i w:val="false"/>
          <w:color w:val="000000"/>
          <w:sz w:val="21"/>
        </w:rPr>
        <w:t>[Filed 9/24/82, Notice 8/18/82—published 10/13/82, effective 11/17/82]</w:t>
      </w:r>
    </w:p>
    <w:p>
      <w:pPr>
        <w:spacing w:before="0" w:after="0"/>
        <w:ind w:left="120"/>
        <w:jc w:val="center"/>
      </w:pPr>
      <w:r>
        <w:rPr>
          <w:rFonts w:ascii="Times New Roman" w:hAnsi="Times New Roman"/>
          <w:b w:val="false"/>
          <w:i w:val="false"/>
          <w:color w:val="000000"/>
          <w:sz w:val="21"/>
        </w:rPr>
        <w:t>[Filed 11/18/83, Notice 10/12/83—published 12/7/83, effective 1/11/84]</w:t>
      </w:r>
    </w:p>
    <w:p>
      <w:pPr>
        <w:spacing w:before="0" w:after="0"/>
        <w:ind w:left="120"/>
        <w:jc w:val="center"/>
      </w:pPr>
      <w:r>
        <w:rPr>
          <w:rFonts w:ascii="Times New Roman" w:hAnsi="Times New Roman"/>
          <w:b w:val="false"/>
          <w:i w:val="false"/>
          <w:color w:val="000000"/>
          <w:sz w:val="21"/>
        </w:rPr>
        <w:t>[Filed 4/17/87, Notice 3/11/87—published 5/6/87, effective 6/10/87]</w:t>
      </w:r>
    </w:p>
    <w:p>
      <w:pPr>
        <w:spacing w:before="0" w:after="0"/>
        <w:ind w:left="120"/>
        <w:jc w:val="center"/>
      </w:pPr>
      <w:r>
        <w:rPr>
          <w:rFonts w:ascii="Times New Roman" w:hAnsi="Times New Roman"/>
          <w:b w:val="false"/>
          <w:i w:val="false"/>
          <w:color w:val="000000"/>
          <w:sz w:val="21"/>
        </w:rPr>
        <w:t>[Filed 12/17/03, Notice 11/12/03—published 1/7/04, effective 2/11/04]</w:t>
      </w:r>
    </w:p>
    <w:p>
      <w:pPr>
        <w:spacing w:before="0" w:after="0"/>
        <w:ind w:left="120"/>
        <w:jc w:val="center"/>
      </w:pPr>
      <w:r>
        <w:rPr>
          <w:rFonts w:ascii="Times New Roman" w:hAnsi="Times New Roman"/>
          <w:b w:val="false"/>
          <w:i w:val="false"/>
          <w:color w:val="000000"/>
          <w:sz w:val="21"/>
        </w:rPr>
        <w:t>[Filed 4/7/06, Notice 3/1/06—published 4/26/06, effective 5/31/06]</w:t>
      </w:r>
    </w:p>
    <w:p>
      <w:pPr>
        <w:spacing w:before="0" w:after="0"/>
        <w:ind w:left="120"/>
        <w:jc w:val="left"/>
      </w:pPr>
      <w:r>
        <w:rPr>
          <w:rFonts w:ascii="Times New Roman" w:hAnsi="Times New Roman"/>
          <w:b w:val="false"/>
          <w:i w:val="false"/>
          <w:color w:val="000000"/>
          <w:sz w:val="22"/>
        </w:rPr>
        <w:t> </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7C.pdf" Type="http://schemas.openxmlformats.org/officeDocument/2006/relationships/hyperlink" Id="rId5"/>
    <Relationship TargetMode="External" Target="https://www.legis.iowa.gov/docs/ico/chapter/97C.pdf" Type="http://schemas.openxmlformats.org/officeDocument/2006/relationships/hyperlink" Id="rId6"/>
    <Relationship TargetMode="External" Target="https://www.legis.iowa.gov/docs/ico/chapter/97C.pdf" Type="http://schemas.openxmlformats.org/officeDocument/2006/relationships/hyperlink" Id="rId7"/>
    <Relationship TargetMode="External" Target="https://www.legis.iowa.gov/docs/ico/chapter/97C.pdf" Type="http://schemas.openxmlformats.org/officeDocument/2006/relationships/hyperlink" Id="rId8"/>
    <Relationship TargetMode="External" Target="https://www.legis.iowa.gov/docs/ico/chapter/97C.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