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INVESTMENT BOARD</w:t>
      </w:r>
    </w:p>
    <w:p>
      <w:pPr>
        <w:spacing w:before="0" w:after="0"/>
        <w:ind w:left="120"/>
        <w:jc w:val="center"/>
      </w:pPr>
      <w:r>
        <w:rPr>
          <w:rFonts w:ascii="Times New Roman" w:hAnsi="Times New Roman"/>
          <w:b w:val="false"/>
          <w:i w:val="false"/>
          <w:color w:val="000000"/>
          <w:sz w:val="14"/>
        </w:rPr>
        <w:t>[Prior to 1/7/04, see 581—21.1]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495—2.1</w:t>
      </w:r>
      <w:r>
        <w:rPr>
          <w:rFonts w:ascii="Times New Roman" w:hAnsi="Times New Roman"/>
          <w:b/>
          <w:i w:val="false"/>
          <w:color w:val="000000"/>
          <w:sz w:val="22"/>
        </w:rPr>
        <w:t xml:space="preserve">(97B) </w:t>
      </w:r>
      <w:r>
        <w:rPr>
          <w:rFonts w:ascii="Times New Roman" w:hAnsi="Times New Roman"/>
          <w:b/>
          <w:i w:val="false"/>
          <w:color w:val="000000"/>
          <w:sz w:val="22"/>
        </w:rPr>
        <w:t xml:space="preserve">Investment board. </w:t>
      </w:r>
      <w:r>
        <w:rPr>
          <w:rFonts w:ascii="Times New Roman" w:hAnsi="Times New Roman"/>
          <w:b w:val="false"/>
          <w:i w:val="false"/>
          <w:color w:val="000000"/>
          <w:sz w:val="22"/>
        </w:rPr>
        <w:t>The principal place of business of the board is IPERS’ headquarters, 7401 Register Drive, Des Moines, Iowa.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Effective July 1, 2002, the board shall be the trustee of the retirement fund. The board shall meet annually, and may meet more often, to review its investment policies.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At the first meeting in each fiscal year, the voting members shall elect a chair and vice chair. Future meeting dates for the year shall also be decided at the first meeting. Advance notice of time, date, tentative agenda, and place of each meeting shall be given in compliance with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All meetings of the board are open to the public and shall be held in accordance with Robert’s Rules of Order, Newly Revised.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Parties wishing to present items for the agenda of the next meeting shall file a written request with the board chair at least five business days prior to the meeting.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Four members eligible to vote shall constitute a quorum. A simple majority vote of the full voting membership shall be the vote of the board.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Members of the board shall file financial statements pursuant to Iowa Code section </w:t>
      </w:r>
      <w:hyperlink r:id="rId6">
        <w:r>
          <w:rPr>
            <w:rStyle w:val="Hyperlink"/>
            <w:rFonts w:ascii="Times New Roman" w:hAnsi="Times New Roman"/>
            <w:b w:val="false"/>
            <w:i w:val="false"/>
            <w:color w:val="000000"/>
            <w:sz w:val="22"/>
          </w:rPr>
          <w:t>68B.35(2)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In the event that it should become necessary to fill the chief investment officer position, the board may consult with, and make hiring recommendations to, the chief executive officer that are consistent with the requirements of Iowa Code chapter </w:t>
      </w:r>
      <w:hyperlink r:id="rId7">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board shall set the salary of the CEO pursuant to Iowa Code section </w:t>
      </w:r>
      <w:hyperlink r:id="rId8">
        <w:r>
          <w:rPr>
            <w:rStyle w:val="Hyperlink"/>
            <w:rFonts w:ascii="Times New Roman" w:hAnsi="Times New Roman"/>
            <w:b w:val="false"/>
            <w:i w:val="false"/>
            <w:color w:val="000000"/>
            <w:sz w:val="22"/>
          </w:rPr>
          <w:t>97B.3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board shall participate in the annual performance evaluation of the chief investment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495—2.2</w:t>
      </w:r>
      <w:r>
        <w:rPr>
          <w:rFonts w:ascii="Times New Roman" w:hAnsi="Times New Roman"/>
          <w:b/>
          <w:i w:val="false"/>
          <w:color w:val="000000"/>
          <w:sz w:val="22"/>
        </w:rPr>
        <w:t xml:space="preserve">(97B) </w:t>
      </w:r>
      <w:r>
        <w:rPr>
          <w:rFonts w:ascii="Times New Roman" w:hAnsi="Times New Roman"/>
          <w:b/>
          <w:i w:val="false"/>
          <w:color w:val="000000"/>
          <w:sz w:val="22"/>
        </w:rPr>
        <w:t xml:space="preserve">Group trusts. </w:t>
      </w:r>
      <w:r>
        <w:rPr>
          <w:rFonts w:ascii="Times New Roman" w:hAnsi="Times New Roman"/>
          <w:b w:val="false"/>
          <w:i w:val="false"/>
          <w:color w:val="000000"/>
          <w:sz w:val="22"/>
        </w:rPr>
        <w:t>Assets of the fund may be invested in a tax-exempt group trust that has been determined by the Internal Revenue Service to be a pooled fund arrangement pursuant to Revenue Ruling 81-100, as modified by Revenue Rulings 2004-67 and 2011-1, and that is operated or maintained exclusively for the commingling and collective investment of moneys. In such case, the terms of the group trust shall be adopted as part of this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68B.35.pdf" Type="http://schemas.openxmlformats.org/officeDocument/2006/relationships/hyperlink" Id="rId6"/>
    <Relationship TargetMode="External" Target="https://www.legis.iowa.gov/docs/ico/chapter/8A.pdf" Type="http://schemas.openxmlformats.org/officeDocument/2006/relationships/hyperlink" Id="rId7"/>
    <Relationship TargetMode="External" Target="https://www.legis.iowa.gov/docs/ico/chapter/97B.3.pdf" Type="http://schemas.openxmlformats.org/officeDocument/2006/relationships/hyperlink" Id="rId8"/>
    <Relationship TargetMode="External" Target="https://www.legis.iowa.gov/docs/ico/chapter/97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