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14</w:t>
      </w:r>
    </w:p>
    <w:p>
      <w:pPr>
        <w:spacing w:before="0" w:after="0"/>
        <w:ind w:left="120"/>
        <w:jc w:val="center"/>
      </w:pPr>
      <w:r>
        <w:rPr>
          <w:rFonts w:ascii="Times New Roman" w:hAnsi="Times New Roman"/>
          <w:b w:val="false"/>
          <w:i w:val="false"/>
          <w:color w:val="000000"/>
          <w:sz w:val="21"/>
        </w:rPr>
        <w:t>DEATH BENEFITS AND BENEFICIARIES</w:t>
      </w:r>
    </w:p>
    <w:p>
      <w:pPr>
        <w:spacing w:before="0" w:after="0"/>
        <w:ind w:left="120"/>
        <w:jc w:val="center"/>
      </w:pPr>
      <w:r>
        <w:rPr>
          <w:rFonts w:ascii="Times New Roman" w:hAnsi="Times New Roman"/>
          <w:b w:val="false"/>
          <w:i w:val="false"/>
          <w:color w:val="000000"/>
          <w:sz w:val="14"/>
        </w:rPr>
        <w:t>[Prior to 11/24/04, see 581—Ch 21]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495—14.1</w:t>
      </w:r>
      <w:r>
        <w:rPr>
          <w:rFonts w:ascii="Times New Roman" w:hAnsi="Times New Roman"/>
          <w:b/>
          <w:i w:val="false"/>
          <w:color w:val="000000"/>
          <w:sz w:val="22"/>
        </w:rPr>
        <w:t xml:space="preserve">(97B) </w:t>
      </w:r>
      <w:r>
        <w:rPr>
          <w:rFonts w:ascii="Times New Roman" w:hAnsi="Times New Roman"/>
          <w:b/>
          <w:i w:val="false"/>
          <w:color w:val="000000"/>
          <w:sz w:val="22"/>
        </w:rPr>
        <w:t xml:space="preserve">Internal Revenue Code limitations. </w:t>
      </w:r>
      <w:r>
        <w:rPr>
          <w:rFonts w:ascii="Times New Roman" w:hAnsi="Times New Roman"/>
          <w:b w:val="false"/>
          <w:i w:val="false"/>
          <w:color w:val="000000"/>
          <w:sz w:val="22"/>
        </w:rPr>
        <w:t xml:space="preserve">The death benefits payable under Iowa Code sections </w:t>
      </w:r>
      <w:hyperlink r:id="rId5">
        <w:r>
          <w:rPr>
            <w:rStyle w:val="Hyperlink"/>
            <w:rFonts w:ascii="Times New Roman" w:hAnsi="Times New Roman"/>
            <w:b w:val="false"/>
            <w:i w:val="false"/>
            <w:color w:val="000000"/>
            <w:sz w:val="22"/>
          </w:rPr>
          <w:t>97B.51</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97B.52</w:t>
        </w:r>
      </w:hyperlink>
      <w:r>
        <w:rPr>
          <w:rFonts w:ascii="Times New Roman" w:hAnsi="Times New Roman"/>
          <w:b w:val="false"/>
          <w:i w:val="false"/>
          <w:color w:val="000000"/>
          <w:sz w:val="22"/>
        </w:rPr>
        <w:t xml:space="preserve"> shall not exceed the maximum amount possible under </w:t>
      </w:r>
      <w:r>
        <w:rPr>
          <w:rFonts w:ascii="Times New Roman" w:hAnsi="Times New Roman"/>
          <w:b w:val="false"/>
          <w:i w:val="false"/>
          <w:color w:val="000000"/>
          <w:sz w:val="22"/>
        </w:rPr>
        <w:t>Internal Revenue Code Section 401(a)(9)</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To ensure that the limit is not exceeded, a member’s combined lump sum death benefit under Iowa Code sections </w:t>
      </w:r>
      <w:hyperlink r:id="rId7">
        <w:r>
          <w:rPr>
            <w:rStyle w:val="Hyperlink"/>
            <w:rFonts w:ascii="Times New Roman" w:hAnsi="Times New Roman"/>
            <w:b w:val="false"/>
            <w:i w:val="false"/>
            <w:color w:val="000000"/>
            <w:sz w:val="22"/>
          </w:rPr>
          <w:t>97B.52(1)</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97B.52(2)</w:t>
        </w:r>
      </w:hyperlink>
      <w:r>
        <w:rPr>
          <w:rFonts w:ascii="Times New Roman" w:hAnsi="Times New Roman"/>
          <w:b w:val="false"/>
          <w:i w:val="false"/>
          <w:color w:val="000000"/>
          <w:sz w:val="22"/>
        </w:rPr>
        <w:t xml:space="preserve"> shall not exceed 100 times the Option 2 amount that would have been payable to the member at the member’s earliest normal retirement age. If a beneficiary of a special service member is eligible for an in-the-line-of-duty death benefit, any reduction required under this rule shall be taken first from a death benefit payable under Iowa Code section </w:t>
      </w:r>
      <w:hyperlink r:id="rId9">
        <w:r>
          <w:rPr>
            <w:rStyle w:val="Hyperlink"/>
            <w:rFonts w:ascii="Times New Roman" w:hAnsi="Times New Roman"/>
            <w:b w:val="false"/>
            <w:i w:val="false"/>
            <w:color w:val="000000"/>
            <w:sz w:val="22"/>
          </w:rPr>
          <w:t>97B.52(1)</w:t>
        </w:r>
      </w:hyperlink>
      <w:r>
        <w:rPr>
          <w:rFonts w:ascii="Times New Roman" w:hAnsi="Times New Roman"/>
          <w:b w:val="false"/>
          <w:i w:val="false"/>
          <w:color w:val="000000"/>
          <w:sz w:val="22"/>
        </w:rPr>
        <w:t>. The “100 times” limit shall apply to active and inactive members. The death benefits payable under this chapter for a period of reemployment for a retired reemployed member who dies during the period of reemployment shall also be subject to the limits described in this rule.</w:t>
      </w:r>
    </w:p>
    <w:p>
      <w:pPr>
        <w:spacing w:before="0" w:after="0"/>
        <w:ind w:left="120"/>
        <w:jc w:val="both"/>
      </w:pPr>
      <w:r>
        <w:rPr>
          <w:rFonts w:ascii="Times New Roman" w:hAnsi="Times New Roman"/>
          <w:b w:val="false"/>
          <w:i w:val="false"/>
          <w:color w:val="000000"/>
          <w:sz w:val="22"/>
        </w:rPr>
        <w:t xml:space="preserve">The maximum claims period for IPERS lump sum death benefits shall not exceed the period required under </w:t>
      </w:r>
      <w:r>
        <w:rPr>
          <w:rFonts w:ascii="Times New Roman" w:hAnsi="Times New Roman"/>
          <w:b w:val="false"/>
          <w:i w:val="false"/>
          <w:color w:val="000000"/>
          <w:sz w:val="22"/>
        </w:rPr>
        <w:t>Internal Revenue Code Section 401(a)(9)</w:t>
      </w:r>
      <w:r>
        <w:rPr>
          <w:rFonts w:ascii="Times New Roman" w:hAnsi="Times New Roman"/>
          <w:b w:val="false"/>
          <w:i w:val="false"/>
          <w:color w:val="000000"/>
          <w:sz w:val="22"/>
        </w:rPr>
        <w:t>, which may be less than five years for a member who dies after the member’s required beginning date, unless the beneficiary is a spouse. The claims period for all cases in which the member’s death occurs during the same calendar year in which a claim must be filed under this rule shall end April 1 of the year following the year of the member’s death.</w:t>
      </w:r>
    </w:p>
    <w:p>
      <w:pPr>
        <w:spacing w:before="0" w:after="0"/>
        <w:ind w:left="120"/>
        <w:jc w:val="both"/>
      </w:pPr>
      <w:r>
        <w:rPr>
          <w:rFonts w:ascii="Times New Roman" w:hAnsi="Times New Roman"/>
          <w:b w:val="false"/>
          <w:i w:val="false"/>
          <w:color w:val="000000"/>
          <w:sz w:val="22"/>
        </w:rPr>
        <w:t xml:space="preserve">A member’s beneficiary or heir may file a claim for previously forfeited death benefits. Interest, if any, for periods prior to the date of the claim will only be credited through the quarter that the death benefit was required to be forfeited by law. Interest for periods following the quarter of forfeiture will accrue beginning with the quarter that the claim for reinstatement is received by IPERS. For death benefits required to be forfeited in order to satisfy </w:t>
      </w:r>
      <w:r>
        <w:rPr>
          <w:rFonts w:ascii="Times New Roman" w:hAnsi="Times New Roman"/>
          <w:b w:val="false"/>
          <w:i w:val="false"/>
          <w:color w:val="000000"/>
          <w:sz w:val="22"/>
        </w:rPr>
        <w:t>Section 401(a)(9) of the federal Internal Revenue Code</w:t>
      </w:r>
      <w:r>
        <w:rPr>
          <w:rFonts w:ascii="Times New Roman" w:hAnsi="Times New Roman"/>
          <w:b w:val="false"/>
          <w:i w:val="false"/>
          <w:color w:val="000000"/>
          <w:sz w:val="22"/>
        </w:rPr>
        <w:t>, in no event will the forfeiture date precede January 1, 1988. IPERS shall not be liable for any excise taxes imposed by the Internal Revenue Service on reinstated death benefits.</w:t>
      </w:r>
    </w:p>
    <w:p>
      <w:pPr>
        <w:spacing w:before="0" w:after="0"/>
        <w:ind w:left="120"/>
        <w:jc w:val="both"/>
      </w:pPr>
      <w:r>
        <w:rPr>
          <w:rFonts w:ascii="Times New Roman" w:hAnsi="Times New Roman"/>
          <w:b w:val="false"/>
          <w:i w:val="false"/>
          <w:color w:val="000000"/>
          <w:sz w:val="22"/>
        </w:rPr>
        <w:t>Effective January 14, 2004, all claims for a previously forfeited death benefit shall be processed under the procedure set forth at rule 495—14.6(97B).</w:t>
      </w:r>
    </w:p>
    <w:p>
      <w:pPr>
        <w:spacing w:before="0" w:after="0"/>
        <w:ind w:left="120"/>
        <w:jc w:val="both"/>
      </w:pPr>
      <w:r>
        <w:rPr>
          <w:rFonts w:ascii="Times New Roman" w:hAnsi="Times New Roman"/>
          <w:b w:val="false"/>
          <w:i w:val="false"/>
          <w:color w:val="000000"/>
          <w:sz w:val="22"/>
        </w:rPr>
        <w:t xml:space="preserve">The system recognizes the validity of same gender marriages executed in Iowa on or after April 27, 2009, if the domestic relations order or other assignment otherwise meets the system’s minimum requirements for such orders; the system shall modify the tax treatment of distributions under such orders as required by the federal laws governing such distributions. IPERS shall adopt such rules and procedures as are deemed necessary to fully implement the provisions of this rule. The Iowa Supreme Court decision recognizing same gender marriages in Iowa specifically states that this recognition does not extend to same gender marriages of other states. The system recognizes the validity of same gender marriages based on the U.S. Supreme Court’s decision in </w:t>
      </w:r>
      <w:r>
        <w:rPr>
          <w:rFonts w:ascii="Times New Roman" w:hAnsi="Times New Roman"/>
          <w:b w:val="false"/>
          <w:i/>
          <w:color w:val="000000"/>
          <w:sz w:val="22"/>
        </w:rPr>
        <w:t>United States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Windsor,</w:t>
      </w:r>
      <w:r>
        <w:rPr>
          <w:rFonts w:ascii="Times New Roman" w:hAnsi="Times New Roman"/>
          <w:b w:val="false"/>
          <w:i w:val="false"/>
          <w:color w:val="000000"/>
          <w:sz w:val="22"/>
        </w:rPr>
        <w:t xml:space="preserve"> 133 S.Ct.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2675 (2013) and the direction of Rev.</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Rul.</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2013-17 and IRS Notice 2014-19. IPERS shall recognize the federal tax treatment of distributions as required by the sources listed in this paragraph.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8601B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1348C</w:t>
      </w:r>
      <w:r>
        <w:rPr>
          <w:rFonts w:ascii="Times New Roman" w:hAnsi="Times New Roman"/>
          <w:b w:val="false"/>
          <w:i w:val="false"/>
          <w:color w:val="000000"/>
          <w:sz w:val="16"/>
        </w:rPr>
        <w:t>, IAB 2/19/14, effective 3/26/14</w:t>
      </w:r>
      <w:r>
        <w:rPr>
          <w:rFonts w:ascii="Times New Roman" w:hAnsi="Times New Roman"/>
          <w:b w:val="false"/>
          <w:i w:val="false"/>
          <w:color w:val="000000"/>
          <w:sz w:val="16"/>
        </w:rPr>
        <w:t xml:space="preserve">; </w:t>
      </w:r>
      <w:r>
        <w:rPr>
          <w:rFonts w:ascii="Times New Roman" w:hAnsi="Times New Roman"/>
          <w:b/>
          <w:i w:val="false"/>
          <w:color w:val="000000"/>
          <w:sz w:val="16"/>
        </w:rPr>
        <w:t>ARC 1887C</w:t>
      </w:r>
      <w:r>
        <w:rPr>
          <w:rFonts w:ascii="Times New Roman" w:hAnsi="Times New Roman"/>
          <w:b w:val="false"/>
          <w:i w:val="false"/>
          <w:color w:val="000000"/>
          <w:sz w:val="16"/>
        </w:rPr>
        <w:t>, IAB 2/18/15, effective 3/25/15</w:t>
      </w:r>
      <w:r>
        <w:rPr>
          <w:rFonts w:ascii="Times New Roman" w:hAnsi="Times New Roman"/>
          <w:b w:val="false"/>
          <w:i w:val="false"/>
          <w:color w:val="000000"/>
          <w:sz w:val="16"/>
        </w:rPr>
        <w:t xml:space="preserve">; </w:t>
      </w:r>
      <w:r>
        <w:rPr>
          <w:rFonts w:ascii="Times New Roman" w:hAnsi="Times New Roman"/>
          <w:b/>
          <w:i w:val="false"/>
          <w:color w:val="000000"/>
          <w:sz w:val="16"/>
        </w:rPr>
        <w:t>ARC 5027C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495—14.2</w:t>
      </w:r>
      <w:r>
        <w:rPr>
          <w:rFonts w:ascii="Times New Roman" w:hAnsi="Times New Roman"/>
          <w:b/>
          <w:i w:val="false"/>
          <w:color w:val="000000"/>
          <w:sz w:val="22"/>
        </w:rPr>
        <w:t xml:space="preserve">(97B) </w:t>
      </w:r>
      <w:r>
        <w:rPr>
          <w:rFonts w:ascii="Times New Roman" w:hAnsi="Times New Roman"/>
          <w:b/>
          <w:i w:val="false"/>
          <w:color w:val="000000"/>
          <w:sz w:val="22"/>
        </w:rPr>
        <w:t xml:space="preserve">Survival into first month of entitlement. </w:t>
      </w:r>
      <w:r>
        <w:rPr>
          <w:rFonts w:ascii="Times New Roman" w:hAnsi="Times New Roman"/>
          <w:b w:val="false"/>
          <w:i w:val="false"/>
          <w:color w:val="000000"/>
          <w:sz w:val="22"/>
        </w:rPr>
        <w:t>When a member who has filed an application for retirement benefits and has survived into the first month of entitlement dies prior to the issuance of the first benefit check, IPERS will pay the death benefit allowed under the retirement option elected by the member in the application for retirement benefits.</w:t>
      </w:r>
    </w:p>
    <w:p>
      <w:pPr>
        <w:spacing w:before="0" w:after="0"/>
        <w:ind w:left="120"/>
        <w:jc w:val="both"/>
      </w:pPr>
      <w:r>
        <w:rPr>
          <w:rFonts w:ascii="Times New Roman" w:hAnsi="Times New Roman"/>
          <w:b/>
          <w:i w:val="false"/>
          <w:color w:val="000000"/>
          <w:sz w:val="22"/>
        </w:rPr>
        <w:t>495—14.3</w:t>
      </w:r>
      <w:r>
        <w:rPr>
          <w:rFonts w:ascii="Times New Roman" w:hAnsi="Times New Roman"/>
          <w:b/>
          <w:i w:val="false"/>
          <w:color w:val="000000"/>
          <w:sz w:val="22"/>
        </w:rPr>
        <w:t xml:space="preserve">(97B) </w:t>
      </w:r>
      <w:r>
        <w:rPr>
          <w:rFonts w:ascii="Times New Roman" w:hAnsi="Times New Roman"/>
          <w:b/>
          <w:i w:val="false"/>
          <w:color w:val="000000"/>
          <w:sz w:val="22"/>
        </w:rPr>
        <w:t xml:space="preserve">Designation of beneficiaries.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14.3(1)</w:t>
      </w:r>
      <w:r>
        <w:rPr>
          <w:rFonts w:ascii="Times New Roman" w:hAnsi="Times New Roman"/>
          <w:b w:val="false"/>
          <w:i w:val="false"/>
          <w:color w:val="000000"/>
          <w:sz w:val="22"/>
        </w:rPr>
        <w:t> </w:t>
      </w:r>
      <w:r>
        <w:rPr>
          <w:rFonts w:ascii="Times New Roman" w:hAnsi="Times New Roman"/>
          <w:b w:val="false"/>
          <w:i/>
          <w:color w:val="000000"/>
          <w:sz w:val="22"/>
        </w:rPr>
        <w:t xml:space="preserve">Designation of beneficiaries. </w:t>
      </w:r>
      <w:r>
        <w:rPr>
          <w:rFonts w:ascii="Times New Roman" w:hAnsi="Times New Roman"/>
          <w:b w:val="false"/>
          <w:i w:val="false"/>
          <w:color w:val="000000"/>
          <w:sz w:val="22"/>
        </w:rPr>
        <w:t>To designate a beneficiary, the member must complete an IPERS designation of beneficiary form, which must be filed with IPERS. Members may also designate their beneficiary through the IPERS website. The designation of a beneficiary by a retiring member on the application for monthly benefits revokes all prior designation of beneficiary forms. IPERS may consider as valid a designation of beneficiary form filed with the member’s employer prior to the death of the member, even if that form was not forwarded to IPERS prior to the member’s death. If a retired member is reemployed in covered employment, the most recently filed beneficiary form shall govern the payment of all death benefits for all periods of employment. Notwithstanding the foregoing sentence, a reemployed IPERS Option 4 or 6 retired member may name someone other than the member’s contingent annuitant as beneficiary, but only for lump sum death benefits accrued during the period of reemployment and only if the contingent annuitant has died or has been divorced from the member before or during the period of reemployment unless a qualified domestic relations order (QDRO) directs otherwise. If a reemployed IPERS Option 4 or 6 retired member dies without filing a new beneficiary form, the death benefits accrued for the period of reemployment shall be paid to the member’s contingent annuitant, unless the contingent annuitant has died or been divorced from the member. If the contingent annuitant has been divorced from the member, any portion of the lump sum death benefits awarded in a QDRO shall be paid to the contingent annuitant as alternate payee, and the remainder of the lump sum death benefits shall be paid to the member’s estate or, if applicable, to the member’s heirs if no estate is probated. A funeral home shall not be designated as a beneficiary.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14.3(2)</w:t>
      </w:r>
      <w:r>
        <w:rPr>
          <w:rFonts w:ascii="Times New Roman" w:hAnsi="Times New Roman"/>
          <w:b w:val="false"/>
          <w:i w:val="false"/>
          <w:color w:val="000000"/>
          <w:sz w:val="22"/>
        </w:rPr>
        <w:t> </w:t>
      </w:r>
      <w:r>
        <w:rPr>
          <w:rFonts w:ascii="Times New Roman" w:hAnsi="Times New Roman"/>
          <w:b w:val="false"/>
          <w:i/>
          <w:color w:val="000000"/>
          <w:sz w:val="22"/>
        </w:rPr>
        <w:t xml:space="preserve">Deceased beneficiary. </w:t>
      </w:r>
      <w:r>
        <w:rPr>
          <w:rFonts w:ascii="Times New Roman" w:hAnsi="Times New Roman"/>
          <w:b w:val="false"/>
          <w:i w:val="false"/>
          <w:color w:val="000000"/>
          <w:sz w:val="22"/>
        </w:rPr>
        <w:t>If a named beneficiary predeceased the member, that beneficiary’s share shall be paid to the surviving named beneficiaries in equal shares.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14.3(3)</w:t>
      </w:r>
      <w:r>
        <w:rPr>
          <w:rFonts w:ascii="Times New Roman" w:hAnsi="Times New Roman"/>
          <w:b w:val="false"/>
          <w:i w:val="false"/>
          <w:color w:val="000000"/>
          <w:sz w:val="22"/>
        </w:rPr>
        <w:t> </w:t>
      </w:r>
      <w:r>
        <w:rPr>
          <w:rFonts w:ascii="Times New Roman" w:hAnsi="Times New Roman"/>
          <w:b w:val="false"/>
          <w:i/>
          <w:color w:val="000000"/>
          <w:sz w:val="22"/>
        </w:rPr>
        <w:t xml:space="preserve">Change of beneficiary. </w:t>
      </w:r>
      <w:r>
        <w:rPr>
          <w:rFonts w:ascii="Times New Roman" w:hAnsi="Times New Roman"/>
          <w:b w:val="false"/>
          <w:i w:val="false"/>
          <w:color w:val="000000"/>
          <w:sz w:val="22"/>
        </w:rPr>
        <w:t>The beneficiary may be changed by the member by filing a new designation of beneficiary form with IPERS. Members may also change their beneficiary through the IPERS website. The latest dated designation of beneficiary form on file shall determine the identity of the beneficiary. Payment of a refund to a terminated member cancels the designation of beneficiary on file with IPERS.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14.3(4)</w:t>
      </w:r>
      <w:r>
        <w:rPr>
          <w:rFonts w:ascii="Times New Roman" w:hAnsi="Times New Roman"/>
          <w:b w:val="false"/>
          <w:i w:val="false"/>
          <w:color w:val="000000"/>
          <w:sz w:val="22"/>
        </w:rPr>
        <w:t> </w:t>
      </w:r>
      <w:r>
        <w:rPr>
          <w:rFonts w:ascii="Times New Roman" w:hAnsi="Times New Roman"/>
          <w:b w:val="false"/>
          <w:i/>
          <w:color w:val="000000"/>
          <w:sz w:val="22"/>
        </w:rPr>
        <w:t xml:space="preserve">Spousal signature. </w:t>
      </w:r>
      <w:r>
        <w:rPr>
          <w:rFonts w:ascii="Times New Roman" w:hAnsi="Times New Roman"/>
          <w:b w:val="false"/>
          <w:i w:val="false"/>
          <w:color w:val="000000"/>
          <w:sz w:val="22"/>
        </w:rPr>
        <w:t xml:space="preserve">If the member designates someone other than a spouse as the sole primary beneficiary, the beneficiary designation form must contain a spousal signature, pursuant to Iowa Code section </w:t>
      </w:r>
      <w:hyperlink r:id="rId10">
        <w:r>
          <w:rPr>
            <w:rStyle w:val="Hyperlink"/>
            <w:rFonts w:ascii="Times New Roman" w:hAnsi="Times New Roman"/>
            <w:b w:val="false"/>
            <w:i w:val="false"/>
            <w:color w:val="000000"/>
            <w:sz w:val="22"/>
          </w:rPr>
          <w:t>97B.44</w:t>
        </w:r>
      </w:hyperlink>
      <w:r>
        <w:rPr>
          <w:rFonts w:ascii="Times New Roman" w:hAnsi="Times New Roman"/>
          <w:b w:val="false"/>
          <w:i w:val="false"/>
          <w:color w:val="000000"/>
          <w:sz w:val="22"/>
        </w:rPr>
        <w:t>. If a member’s spouse cannot be located, the spousal signature requirement may be waived upon receipt of the notarized form specified by IPERS.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1887C</w:t>
      </w:r>
      <w:r>
        <w:rPr>
          <w:rFonts w:ascii="Times New Roman" w:hAnsi="Times New Roman"/>
          <w:b w:val="false"/>
          <w:i w:val="false"/>
          <w:color w:val="000000"/>
          <w:sz w:val="16"/>
        </w:rPr>
        <w:t>, IAB 2/18/15, effective 3/25/15</w:t>
      </w:r>
      <w:r>
        <w:rPr>
          <w:rFonts w:ascii="Times New Roman" w:hAnsi="Times New Roman"/>
          <w:b w:val="false"/>
          <w:i w:val="false"/>
          <w:color w:val="000000"/>
          <w:sz w:val="16"/>
        </w:rPr>
        <w:t xml:space="preserve">; </w:t>
      </w:r>
      <w:r>
        <w:rPr>
          <w:rFonts w:ascii="Times New Roman" w:hAnsi="Times New Roman"/>
          <w:b/>
          <w:i w:val="false"/>
          <w:color w:val="000000"/>
          <w:sz w:val="16"/>
        </w:rPr>
        <w:t>ARC 2981C</w:t>
      </w:r>
      <w:r>
        <w:rPr>
          <w:rFonts w:ascii="Times New Roman" w:hAnsi="Times New Roman"/>
          <w:b w:val="false"/>
          <w:i w:val="false"/>
          <w:color w:val="000000"/>
          <w:sz w:val="16"/>
        </w:rPr>
        <w:t>, IAB 3/15/17, effective 4/19/17</w:t>
      </w:r>
      <w:r>
        <w:rPr>
          <w:rFonts w:ascii="Times New Roman" w:hAnsi="Times New Roman"/>
          <w:b w:val="false"/>
          <w:i w:val="false"/>
          <w:color w:val="000000"/>
          <w:sz w:val="16"/>
        </w:rPr>
        <w:t xml:space="preserve">; </w:t>
      </w:r>
      <w:r>
        <w:rPr>
          <w:rFonts w:ascii="Times New Roman" w:hAnsi="Times New Roman"/>
          <w:b/>
          <w:i w:val="false"/>
          <w:color w:val="000000"/>
          <w:sz w:val="16"/>
        </w:rPr>
        <w:t>ARC 4337C</w:t>
      </w:r>
      <w:r>
        <w:rPr>
          <w:rFonts w:ascii="Times New Roman" w:hAnsi="Times New Roman"/>
          <w:b w:val="false"/>
          <w:i w:val="false"/>
          <w:color w:val="000000"/>
          <w:sz w:val="16"/>
        </w:rPr>
        <w:t>, IAB 3/13/19, effective 4/17/19</w:t>
      </w:r>
      <w:r>
        <w:rPr>
          <w:rFonts w:ascii="Times New Roman" w:hAnsi="Times New Roman"/>
          <w:b w:val="false"/>
          <w:i w:val="false"/>
          <w:color w:val="000000"/>
          <w:sz w:val="16"/>
        </w:rPr>
        <w:t xml:space="preserve">; </w:t>
      </w:r>
      <w:r>
        <w:rPr>
          <w:rFonts w:ascii="Times New Roman" w:hAnsi="Times New Roman"/>
          <w:b/>
          <w:i w:val="false"/>
          <w:color w:val="000000"/>
          <w:sz w:val="16"/>
        </w:rPr>
        <w:t>ARC 5027C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 xml:space="preserve">; </w:t>
      </w:r>
      <w:r>
        <w:rPr>
          <w:rFonts w:ascii="Times New Roman" w:hAnsi="Times New Roman"/>
          <w:b/>
          <w:i w:val="false"/>
          <w:color w:val="000000"/>
          <w:sz w:val="16"/>
        </w:rPr>
        <w:t>ARC 5489C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495—14.4</w:t>
      </w:r>
      <w:r>
        <w:rPr>
          <w:rFonts w:ascii="Times New Roman" w:hAnsi="Times New Roman"/>
          <w:b/>
          <w:i w:val="false"/>
          <w:color w:val="000000"/>
          <w:sz w:val="22"/>
        </w:rPr>
        <w:t xml:space="preserve">(97B) </w:t>
      </w:r>
      <w:r>
        <w:rPr>
          <w:rFonts w:ascii="Times New Roman" w:hAnsi="Times New Roman"/>
          <w:b/>
          <w:i w:val="false"/>
          <w:color w:val="000000"/>
          <w:sz w:val="22"/>
        </w:rPr>
        <w:t xml:space="preserve">Applications for death benefits. </w:t>
      </w:r>
      <w:r>
        <w:rPr>
          <w:rFonts w:ascii="Times New Roman" w:hAnsi="Times New Roman"/>
          <w:b w:val="false"/>
          <w:i w:val="false"/>
          <w:color w:val="000000"/>
          <w:sz w:val="22"/>
        </w:rPr>
        <w:t>Before death benefit payments can be made, application in writing must be submitted to IPERS with a copy of the member’s death certificate, or if a death certificate cannot be obtained, IPERS may rely on such resources as it has available, including but not limited to records from the Social Security Administration, bureau of health statistics, IPERS’ own internal records, or reports derived from other public records, and other departmental or governmental records to which IPERS may have access together with information establishing the claimant’s right to payment. A named beneficiary must complete an IPERS application for death benefits based on the deceased member’s account. If the claimant’s claim is based on dissolution of marriage that revoked the IPERS beneficiary designation, the claim must be processed pursuant to rule 495—14.16(97B).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1887C</w:t>
      </w:r>
      <w:r>
        <w:rPr>
          <w:rFonts w:ascii="Times New Roman" w:hAnsi="Times New Roman"/>
          <w:b w:val="false"/>
          <w:i w:val="false"/>
          <w:color w:val="000000"/>
          <w:sz w:val="16"/>
        </w:rPr>
        <w:t>, IAB 2/18/15, effective 3/25/15</w:t>
      </w:r>
      <w:r>
        <w:rPr>
          <w:rFonts w:ascii="Times New Roman" w:hAnsi="Times New Roman"/>
          <w:b w:val="false"/>
          <w:i w:val="false"/>
          <w:color w:val="000000"/>
          <w:sz w:val="16"/>
        </w:rPr>
        <w:t xml:space="preserve">; </w:t>
      </w:r>
      <w:r>
        <w:rPr>
          <w:rFonts w:ascii="Times New Roman" w:hAnsi="Times New Roman"/>
          <w:b/>
          <w:i w:val="false"/>
          <w:color w:val="000000"/>
          <w:sz w:val="16"/>
        </w:rPr>
        <w:t>ARC 2402C</w:t>
      </w:r>
      <w:r>
        <w:rPr>
          <w:rFonts w:ascii="Times New Roman" w:hAnsi="Times New Roman"/>
          <w:b w:val="false"/>
          <w:i w:val="false"/>
          <w:color w:val="000000"/>
          <w:sz w:val="16"/>
        </w:rPr>
        <w:t>, IAB 2/17/16, effective 3/23/16</w:t>
      </w:r>
      <w:r>
        <w:rPr>
          <w:rFonts w:ascii="Times New Roman" w:hAnsi="Times New Roman"/>
          <w:b w:val="false"/>
          <w:i w:val="false"/>
          <w:color w:val="000000"/>
          <w:sz w:val="16"/>
        </w:rPr>
        <w:t xml:space="preserve">; </w:t>
      </w:r>
      <w:r>
        <w:rPr>
          <w:rFonts w:ascii="Times New Roman" w:hAnsi="Times New Roman"/>
          <w:b/>
          <w:i w:val="false"/>
          <w:color w:val="000000"/>
          <w:sz w:val="16"/>
        </w:rPr>
        <w:t>ARC 5027C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495—14.5</w:t>
      </w:r>
      <w:r>
        <w:rPr>
          <w:rFonts w:ascii="Times New Roman" w:hAnsi="Times New Roman"/>
          <w:b/>
          <w:i w:val="false"/>
          <w:color w:val="000000"/>
          <w:sz w:val="22"/>
        </w:rPr>
        <w:t xml:space="preserve">(97B) </w:t>
      </w:r>
      <w:r>
        <w:rPr>
          <w:rFonts w:ascii="Times New Roman" w:hAnsi="Times New Roman"/>
          <w:b/>
          <w:i w:val="false"/>
          <w:color w:val="000000"/>
          <w:sz w:val="22"/>
        </w:rPr>
        <w:t xml:space="preserve">Commuted lump sums.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14.5(1)</w:t>
      </w:r>
      <w:r>
        <w:rPr>
          <w:rFonts w:ascii="Times New Roman" w:hAnsi="Times New Roman"/>
          <w:b w:val="false"/>
          <w:i w:val="false"/>
          <w:color w:val="000000"/>
          <w:sz w:val="22"/>
        </w:rPr>
        <w:t> </w:t>
      </w:r>
      <w:r>
        <w:rPr>
          <w:rFonts w:ascii="Times New Roman" w:hAnsi="Times New Roman"/>
          <w:b w:val="false"/>
          <w:i/>
          <w:color w:val="000000"/>
          <w:sz w:val="22"/>
        </w:rPr>
        <w:t xml:space="preserve">Designated beneficiary is an estate, trust, church, charity, or similar organization. </w:t>
      </w:r>
      <w:r>
        <w:rPr>
          <w:rFonts w:ascii="Times New Roman" w:hAnsi="Times New Roman"/>
          <w:b w:val="false"/>
          <w:i w:val="false"/>
          <w:color w:val="000000"/>
          <w:sz w:val="22"/>
        </w:rPr>
        <w:t>Where the designated beneficiary is an estate, trust, church, charity or similar organization, or is a person, such as a trustee, executor, or administrator who has been appointed to receive funds on behalf of such entities, payment of benefits shall be made in a lump sum only.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14.5(2)</w:t>
      </w:r>
      <w:r>
        <w:rPr>
          <w:rFonts w:ascii="Times New Roman" w:hAnsi="Times New Roman"/>
          <w:b w:val="false"/>
          <w:i w:val="false"/>
          <w:color w:val="000000"/>
          <w:sz w:val="22"/>
        </w:rPr>
        <w:t> </w:t>
      </w:r>
      <w:r>
        <w:rPr>
          <w:rFonts w:ascii="Times New Roman" w:hAnsi="Times New Roman"/>
          <w:b w:val="false"/>
          <w:i/>
          <w:color w:val="000000"/>
          <w:sz w:val="22"/>
        </w:rPr>
        <w:t xml:space="preserve">Multiple beneficiaries. </w:t>
      </w:r>
      <w:r>
        <w:rPr>
          <w:rFonts w:ascii="Times New Roman" w:hAnsi="Times New Roman"/>
          <w:b w:val="false"/>
          <w:i w:val="false"/>
          <w:color w:val="000000"/>
          <w:sz w:val="22"/>
        </w:rPr>
        <w:t>Where multiple beneficiaries have been designated by the member, payment, including the payment of the remainder of a series of guaranteed annuity payments, shall be made in a lump sum only. The lump sum payment shall be paid to the multiple beneficiaries in equal shares.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14.5(3)</w:t>
      </w:r>
      <w:r>
        <w:rPr>
          <w:rFonts w:ascii="Times New Roman" w:hAnsi="Times New Roman"/>
          <w:b w:val="false"/>
          <w:i w:val="false"/>
          <w:color w:val="000000"/>
          <w:sz w:val="22"/>
        </w:rPr>
        <w:t> </w:t>
      </w:r>
      <w:r>
        <w:rPr>
          <w:rFonts w:ascii="Times New Roman" w:hAnsi="Times New Roman"/>
          <w:b w:val="false"/>
          <w:i/>
          <w:color w:val="000000"/>
          <w:sz w:val="22"/>
        </w:rPr>
        <w:t xml:space="preserve">Guaranteed payments. </w:t>
      </w:r>
      <w:r>
        <w:rPr>
          <w:rFonts w:ascii="Times New Roman" w:hAnsi="Times New Roman"/>
          <w:b w:val="false"/>
          <w:i w:val="false"/>
          <w:color w:val="000000"/>
          <w:sz w:val="22"/>
        </w:rPr>
        <w:t>Where a member has selected Option 5 and dies before receiving all guaranteed payments, and the member’s designated beneficiary also dies before all guaranteed payments are made, any remaining guaranteed payments shall be paid in a commuted lump sum.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8929B</w:t>
      </w:r>
      <w:r>
        <w:rPr>
          <w:rFonts w:ascii="Times New Roman" w:hAnsi="Times New Roman"/>
          <w:b w:val="false"/>
          <w:i w:val="false"/>
          <w:color w:val="000000"/>
          <w:sz w:val="16"/>
        </w:rPr>
        <w:t>, IAB 7/14/10, effective 6/21/10</w:t>
      </w:r>
      <w:r>
        <w:rPr>
          <w:rFonts w:ascii="Times New Roman" w:hAnsi="Times New Roman"/>
          <w:b w:val="false"/>
          <w:i w:val="false"/>
          <w:color w:val="000000"/>
          <w:sz w:val="16"/>
        </w:rPr>
        <w:t xml:space="preserve">; </w:t>
      </w:r>
      <w:r>
        <w:rPr>
          <w:rFonts w:ascii="Times New Roman" w:hAnsi="Times New Roman"/>
          <w:b/>
          <w:i w:val="false"/>
          <w:color w:val="000000"/>
          <w:sz w:val="16"/>
        </w:rPr>
        <w:t>ARC 9068B</w:t>
      </w:r>
      <w:r>
        <w:rPr>
          <w:rFonts w:ascii="Times New Roman" w:hAnsi="Times New Roman"/>
          <w:b w:val="false"/>
          <w:i w:val="false"/>
          <w:color w:val="000000"/>
          <w:sz w:val="16"/>
        </w:rPr>
        <w:t>, IAB 9/8/10, effective 10/13/10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495—14.6</w:t>
      </w:r>
      <w:r>
        <w:rPr>
          <w:rFonts w:ascii="Times New Roman" w:hAnsi="Times New Roman"/>
          <w:b/>
          <w:i w:val="false"/>
          <w:color w:val="000000"/>
          <w:sz w:val="22"/>
        </w:rPr>
        <w:t xml:space="preserve">(97B) </w:t>
      </w:r>
      <w:r>
        <w:rPr>
          <w:rFonts w:ascii="Times New Roman" w:hAnsi="Times New Roman"/>
          <w:b/>
          <w:i w:val="false"/>
          <w:color w:val="000000"/>
          <w:sz w:val="22"/>
        </w:rPr>
        <w:t xml:space="preserve">Payment of the death benefit when no designation of beneficiary or an invalid designation of beneficiary form is on file. </w:t>
      </w:r>
      <w:r>
        <w:rPr>
          <w:rFonts w:ascii="Times New Roman" w:hAnsi="Times New Roman"/>
          <w:b w:val="false"/>
          <w:i w:val="false"/>
          <w:color w:val="000000"/>
          <w:sz w:val="22"/>
        </w:rPr>
        <w:t>When no designation of beneficiary or an invalid designation of beneficiary form is on file with IPERS, payment shall be made in one of the following ways.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14.6(1)</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estate is open, payment shall be made to the administrator or executor where said executor or administrator shall be duly appointed and serving under Iowa Code chapter </w:t>
      </w:r>
      <w:hyperlink r:id="rId11">
        <w:r>
          <w:rPr>
            <w:rStyle w:val="Hyperlink"/>
            <w:rFonts w:ascii="Times New Roman" w:hAnsi="Times New Roman"/>
            <w:b w:val="false"/>
            <w:i w:val="false"/>
            <w:color w:val="000000"/>
            <w:sz w:val="22"/>
          </w:rPr>
          <w:t>633</w:t>
        </w:r>
      </w:hyperlink>
      <w:r>
        <w:rPr>
          <w:rFonts w:ascii="Times New Roman" w:hAnsi="Times New Roman"/>
          <w:b w:val="false"/>
          <w:i w:val="false"/>
          <w:color w:val="000000"/>
          <w:sz w:val="22"/>
        </w:rPr>
        <w:t xml:space="preserve"> or </w:t>
      </w:r>
      <w:hyperlink r:id="rId12">
        <w:r>
          <w:rPr>
            <w:rStyle w:val="Hyperlink"/>
            <w:rFonts w:ascii="Times New Roman" w:hAnsi="Times New Roman"/>
            <w:b w:val="false"/>
            <w:i w:val="false"/>
            <w:color w:val="000000"/>
            <w:sz w:val="22"/>
          </w:rPr>
          <w:t>635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14.6(2)</w:t>
      </w:r>
      <w:r>
        <w:rPr>
          <w:rFonts w:ascii="Times New Roman" w:hAnsi="Times New Roman"/>
          <w:b w:val="false"/>
          <w:i w:val="false"/>
          <w:color w:val="000000"/>
          <w:sz w:val="22"/>
        </w:rPr>
        <w:t> </w:t>
      </w:r>
      <w:r>
        <w:rPr>
          <w:rFonts w:ascii="Times New Roman" w:hAnsi="Times New Roman"/>
          <w:b w:val="false"/>
          <w:i w:val="false"/>
          <w:color w:val="000000"/>
          <w:sz w:val="22"/>
        </w:rPr>
        <w:t>Where no estate is probated or the estate is closed prior to the filing with IPERS of an application for death benefits, payment will be made in accordance with the intestacy laws of the state of Iowa. If someone other than those identified pursuant to the intestacy laws of the state of Iowa claims entitlement to a death benefit, an estate must be opened and the death benefit shall be payable to the administrator or executor of the estate.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5027C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495—14.7</w:t>
      </w:r>
      <w:r>
        <w:rPr>
          <w:rFonts w:ascii="Times New Roman" w:hAnsi="Times New Roman"/>
          <w:b/>
          <w:i w:val="false"/>
          <w:color w:val="000000"/>
          <w:sz w:val="22"/>
        </w:rPr>
        <w:t xml:space="preserve">(97B) </w:t>
      </w:r>
      <w:r>
        <w:rPr>
          <w:rFonts w:ascii="Times New Roman" w:hAnsi="Times New Roman"/>
          <w:b/>
          <w:i w:val="false"/>
          <w:color w:val="000000"/>
          <w:sz w:val="22"/>
        </w:rPr>
        <w:t xml:space="preserve">Waiver of beneficiary rights. </w:t>
      </w:r>
      <w:r>
        <w:rPr>
          <w:rFonts w:ascii="Times New Roman" w:hAnsi="Times New Roman"/>
          <w:b w:val="false"/>
          <w:i w:val="false"/>
          <w:color w:val="000000"/>
          <w:sz w:val="22"/>
        </w:rPr>
        <w:t>A named beneficiary of a deceased member may waive current and future rights to payments to which the beneficiary would have been entitled. The waiver of the rights shall occur prior to the receipt of a payment from IPERS to the beneficiary. The waiver of rights shall be binding and will be executed on a form provided by IPERS. The waiver of rights may be general, in which case payment shall be divided equally among all remaining designated beneficiaries or, if there are none, to the member’s estate. The waiver of rights may also expressly be made in favor of one or more of the member’s designated beneficiaries or the member’s estate. If the waiver of rights operates in favor of the member’s estate and no estate is probated or claim made, or if the executor or administrator expressly waives payment to the estate, payment shall be paid to the member’s surviving spouse unless there is no surviving spouse or the surviving spouse has waived the surviving spouse’s rights. In that case, payment shall be made to the member’s heirs excluding any person who waived the right to payment. Any waiver filed by an executor, administrator, or other fiduciary must be accompanied by a release acceptable to IPERS indemnifying IPERS from all liability to beneficiaries, heirs, or other claimants for any waiver executed by an executor, administrator, or other fiduciary.</w:t>
      </w:r>
    </w:p>
    <w:p>
      <w:pPr>
        <w:spacing w:before="210" w:after="0"/>
        <w:ind w:left="120"/>
        <w:jc w:val="both"/>
      </w:pPr>
      <w:r>
        <w:rPr>
          <w:rFonts w:ascii="Times New Roman" w:hAnsi="Times New Roman"/>
          <w:b/>
          <w:i w:val="false"/>
          <w:color w:val="000000"/>
          <w:sz w:val="22"/>
        </w:rPr>
        <w:t>495—14.8</w:t>
      </w:r>
      <w:r>
        <w:rPr>
          <w:rFonts w:ascii="Times New Roman" w:hAnsi="Times New Roman"/>
          <w:b/>
          <w:i w:val="false"/>
          <w:color w:val="000000"/>
          <w:sz w:val="22"/>
        </w:rPr>
        <w:t xml:space="preserve">(97B) </w:t>
      </w:r>
      <w:r>
        <w:rPr>
          <w:rFonts w:ascii="Times New Roman" w:hAnsi="Times New Roman"/>
          <w:b/>
          <w:i w:val="false"/>
          <w:color w:val="000000"/>
          <w:sz w:val="22"/>
        </w:rPr>
        <w:t xml:space="preserve">Beneficiaries under the age of 18. </w:t>
      </w:r>
      <w:r>
        <w:rPr>
          <w:rFonts w:ascii="Times New Roman" w:hAnsi="Times New Roman"/>
          <w:b w:val="false"/>
          <w:i w:val="false"/>
          <w:color w:val="000000"/>
          <w:sz w:val="22"/>
        </w:rPr>
        <w:t>Payment may be made to a conservator if the beneficiary is under the age of 18 and the total dollar amount to be paid by IPERS to a single beneficiary is $25,000 or more. Payment may be made to a custodian if the total dollar amount to be paid by IPERS to a single beneficiary is less than $25,000.</w:t>
      </w:r>
    </w:p>
    <w:p>
      <w:pPr>
        <w:spacing w:before="210" w:after="0"/>
        <w:ind w:left="120"/>
        <w:jc w:val="both"/>
      </w:pPr>
      <w:r>
        <w:rPr>
          <w:rFonts w:ascii="Times New Roman" w:hAnsi="Times New Roman"/>
          <w:b/>
          <w:i w:val="false"/>
          <w:color w:val="000000"/>
          <w:sz w:val="22"/>
        </w:rPr>
        <w:t>495—14.9</w:t>
      </w:r>
      <w:r>
        <w:rPr>
          <w:rFonts w:ascii="Times New Roman" w:hAnsi="Times New Roman"/>
          <w:b/>
          <w:i w:val="false"/>
          <w:color w:val="000000"/>
          <w:sz w:val="22"/>
        </w:rPr>
        <w:t xml:space="preserve">(97B) </w:t>
      </w:r>
      <w:r>
        <w:rPr>
          <w:rFonts w:ascii="Times New Roman" w:hAnsi="Times New Roman"/>
          <w:b/>
          <w:i w:val="false"/>
          <w:color w:val="000000"/>
          <w:sz w:val="22"/>
        </w:rPr>
        <w:t xml:space="preserve">Simultaneous deaths. </w:t>
      </w:r>
      <w:r>
        <w:rPr>
          <w:rFonts w:ascii="Times New Roman" w:hAnsi="Times New Roman"/>
          <w:b w:val="false"/>
          <w:i w:val="false"/>
          <w:color w:val="000000"/>
          <w:sz w:val="22"/>
        </w:rPr>
        <w:t xml:space="preserve">IPERS will apply the provisions of the Uniform Simultaneous Death Act, Iowa Code sections </w:t>
      </w:r>
      <w:hyperlink r:id="rId13">
        <w:r>
          <w:rPr>
            <w:rStyle w:val="Hyperlink"/>
            <w:rFonts w:ascii="Times New Roman" w:hAnsi="Times New Roman"/>
            <w:b w:val="false"/>
            <w:i w:val="false"/>
            <w:color w:val="000000"/>
            <w:sz w:val="22"/>
          </w:rPr>
          <w:t>633.523</w:t>
        </w:r>
      </w:hyperlink>
      <w:r>
        <w:rPr>
          <w:rFonts w:ascii="Times New Roman" w:hAnsi="Times New Roman"/>
          <w:b w:val="false"/>
          <w:i w:val="false"/>
          <w:color w:val="000000"/>
          <w:sz w:val="22"/>
        </w:rPr>
        <w:t xml:space="preserve"> et seq., in determining the proper beneficiaries of death benefits in applicable cases.</w:t>
      </w:r>
    </w:p>
    <w:p>
      <w:pPr>
        <w:spacing w:before="210" w:after="0"/>
        <w:ind w:left="120"/>
        <w:jc w:val="both"/>
      </w:pPr>
      <w:r>
        <w:rPr>
          <w:rFonts w:ascii="Times New Roman" w:hAnsi="Times New Roman"/>
          <w:b/>
          <w:i w:val="false"/>
          <w:color w:val="000000"/>
          <w:sz w:val="22"/>
        </w:rPr>
        <w:t>495—14.10</w:t>
      </w:r>
      <w:r>
        <w:rPr>
          <w:rFonts w:ascii="Times New Roman" w:hAnsi="Times New Roman"/>
          <w:b/>
          <w:i w:val="false"/>
          <w:color w:val="000000"/>
          <w:sz w:val="22"/>
        </w:rPr>
        <w:t xml:space="preserve">(97B) </w:t>
      </w:r>
      <w:r>
        <w:rPr>
          <w:rFonts w:ascii="Times New Roman" w:hAnsi="Times New Roman"/>
          <w:b/>
          <w:i w:val="false"/>
          <w:color w:val="000000"/>
          <w:sz w:val="22"/>
        </w:rPr>
        <w:t xml:space="preserve">Felonious deaths. </w:t>
      </w:r>
      <w:r>
        <w:rPr>
          <w:rFonts w:ascii="Times New Roman" w:hAnsi="Times New Roman"/>
          <w:b w:val="false"/>
          <w:i w:val="false"/>
          <w:color w:val="000000"/>
          <w:sz w:val="22"/>
        </w:rPr>
        <w:t xml:space="preserve">IPERS will apply the provisions of the Felonious Death Act, Iowa Code sections </w:t>
      </w:r>
      <w:hyperlink r:id="rId14">
        <w:r>
          <w:rPr>
            <w:rStyle w:val="Hyperlink"/>
            <w:rFonts w:ascii="Times New Roman" w:hAnsi="Times New Roman"/>
            <w:b w:val="false"/>
            <w:i w:val="false"/>
            <w:color w:val="000000"/>
            <w:sz w:val="22"/>
          </w:rPr>
          <w:t>633.535</w:t>
        </w:r>
      </w:hyperlink>
      <w:r>
        <w:rPr>
          <w:rFonts w:ascii="Times New Roman" w:hAnsi="Times New Roman"/>
          <w:b w:val="false"/>
          <w:i w:val="false"/>
          <w:color w:val="000000"/>
          <w:sz w:val="22"/>
        </w:rPr>
        <w:t xml:space="preserve"> et seq., in determining the proper beneficiaries of death benefits in applicable cases.</w:t>
      </w:r>
    </w:p>
    <w:p>
      <w:pPr>
        <w:spacing w:before="210" w:after="0"/>
        <w:ind w:left="120"/>
        <w:jc w:val="both"/>
      </w:pPr>
      <w:r>
        <w:rPr>
          <w:rFonts w:ascii="Times New Roman" w:hAnsi="Times New Roman"/>
          <w:b/>
          <w:i w:val="false"/>
          <w:color w:val="000000"/>
          <w:sz w:val="22"/>
        </w:rPr>
        <w:t>495—14.11</w:t>
      </w:r>
      <w:r>
        <w:rPr>
          <w:rFonts w:ascii="Times New Roman" w:hAnsi="Times New Roman"/>
          <w:b/>
          <w:i w:val="false"/>
          <w:color w:val="000000"/>
          <w:sz w:val="22"/>
        </w:rPr>
        <w:t xml:space="preserve">(97B) </w:t>
      </w:r>
      <w:r>
        <w:rPr>
          <w:rFonts w:ascii="Times New Roman" w:hAnsi="Times New Roman"/>
          <w:b/>
          <w:i w:val="false"/>
          <w:color w:val="000000"/>
          <w:sz w:val="22"/>
        </w:rPr>
        <w:t xml:space="preserve">No interest on postretirement death benefits. </w:t>
      </w:r>
      <w:r>
        <w:rPr>
          <w:rFonts w:ascii="Times New Roman" w:hAnsi="Times New Roman"/>
          <w:b w:val="false"/>
          <w:i w:val="false"/>
          <w:color w:val="000000"/>
          <w:sz w:val="22"/>
        </w:rPr>
        <w:t>Interest is only accrued on a member’s death benefit if the member dies before the member’s first month of entitlement (FME) or, for a retired reemployed member, before the member’s reemployment FME, and is only accrued with respect to the retired or retired reemployed member’s accumulated contributions account.</w:t>
      </w:r>
    </w:p>
    <w:p>
      <w:pPr>
        <w:spacing w:before="0" w:after="0"/>
        <w:ind w:left="120"/>
        <w:jc w:val="both"/>
      </w:pPr>
      <w:r>
        <w:rPr>
          <w:rFonts w:ascii="Times New Roman" w:hAnsi="Times New Roman"/>
          <w:b/>
          <w:i w:val="false"/>
          <w:color w:val="000000"/>
          <w:sz w:val="22"/>
        </w:rPr>
        <w:t>495—14.12</w:t>
      </w:r>
      <w:r>
        <w:rPr>
          <w:rFonts w:ascii="Times New Roman" w:hAnsi="Times New Roman"/>
          <w:b/>
          <w:i w:val="false"/>
          <w:color w:val="000000"/>
          <w:sz w:val="22"/>
        </w:rPr>
        <w:t xml:space="preserve">(97B) </w:t>
      </w:r>
      <w:r>
        <w:rPr>
          <w:rFonts w:ascii="Times New Roman" w:hAnsi="Times New Roman"/>
          <w:b/>
          <w:i w:val="false"/>
          <w:color w:val="000000"/>
          <w:sz w:val="22"/>
        </w:rPr>
        <w:t xml:space="preserve">Preretirement death benefits.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14.12(1)</w:t>
      </w:r>
      <w:r>
        <w:rPr>
          <w:rFonts w:ascii="Times New Roman" w:hAnsi="Times New Roman"/>
          <w:b w:val="false"/>
          <w:i w:val="false"/>
          <w:color w:val="000000"/>
          <w:sz w:val="22"/>
        </w:rPr>
        <w:t> </w:t>
      </w:r>
      <w:r>
        <w:rPr>
          <w:rFonts w:ascii="Times New Roman" w:hAnsi="Times New Roman"/>
          <w:b w:val="false"/>
          <w:i/>
          <w:color w:val="000000"/>
          <w:sz w:val="22"/>
        </w:rPr>
        <w:t xml:space="preserve">Death prior to first month of entitlement. </w:t>
      </w:r>
      <w:r>
        <w:rPr>
          <w:rFonts w:ascii="Times New Roman" w:hAnsi="Times New Roman"/>
          <w:b w:val="false"/>
          <w:i w:val="false"/>
          <w:color w:val="000000"/>
          <w:sz w:val="22"/>
        </w:rPr>
        <w:t xml:space="preserve">Where an active member, or an inactive member vested by service, dies prior to the first month of entitlement, the lump sum death benefit shall be the greater of the amount provided in subrule 14.12(3) or 14.12(4). Sole beneficiaries may elect, in lieu of the lump sum amount, to receive a single life annuity that is the actuarial equivalent of such lump sum amount. Where an inactive member, not vested by service, dies prior to the first month of entitlement, the lump sum death benefit shall be as provided in subrule 14.12(7).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14.12(2)</w:t>
      </w:r>
      <w:r>
        <w:rPr>
          <w:rFonts w:ascii="Times New Roman" w:hAnsi="Times New Roman"/>
          <w:b w:val="false"/>
          <w:i w:val="false"/>
          <w:color w:val="000000"/>
          <w:sz w:val="22"/>
        </w:rPr>
        <w:t> </w:t>
      </w:r>
      <w:r>
        <w:rPr>
          <w:rFonts w:ascii="Times New Roman" w:hAnsi="Times New Roman"/>
          <w:b w:val="false"/>
          <w:i/>
          <w:color w:val="000000"/>
          <w:sz w:val="22"/>
        </w:rPr>
        <w:t xml:space="preserve">Death benefits under Iowa Code section </w:t>
      </w:r>
      <w:hyperlink r:id="rId15">
        <w:r>
          <w:rPr>
            <w:rStyle w:val="Hyperlink"/>
            <w:rFonts w:ascii="Times New Roman" w:hAnsi="Times New Roman"/>
            <w:b w:val="false"/>
            <w:i/>
            <w:color w:val="000000"/>
            <w:sz w:val="22"/>
          </w:rPr>
          <w:t>97B.52(1)</w:t>
        </w:r>
      </w:hyperlink>
      <w:r>
        <w:rPr>
          <w:rFonts w:ascii="Times New Roman" w:hAnsi="Times New Roman"/>
          <w:b w:val="false"/>
          <w:i/>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“Accrued benefit” </w:t>
      </w:r>
      <w:r>
        <w:rPr>
          <w:rFonts w:ascii="Times New Roman" w:hAnsi="Times New Roman"/>
          <w:b w:val="false"/>
          <w:i w:val="false"/>
          <w:color w:val="000000"/>
          <w:sz w:val="22"/>
        </w:rPr>
        <w:t>means the monthly amount that would have been payable to the deceased member under IPERS Option 2 at the member’s earliest normal retirement age, based on the member’s covered wages and service credits at the date of death. If a deceased member’s wage record consists of a combination of regular and special service credits, the monthly amount that would have been payable to the deceased member under Option 2 at the member’s earliest normal retirement age shall be determined separately for regular and special service credits, and then combined.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“Nearest age” </w:t>
      </w:r>
      <w:r>
        <w:rPr>
          <w:rFonts w:ascii="Times New Roman" w:hAnsi="Times New Roman"/>
          <w:b w:val="false"/>
          <w:i w:val="false"/>
          <w:color w:val="000000"/>
          <w:sz w:val="22"/>
        </w:rPr>
        <w:t>means a member’s or beneficiary’s age expressed in whole years, after rounding for partial years of age. Ages shall be rounded down to the nearest whole year if less than six complete months have passed following the month of the member’s or beneficiary’s last birthday, and shall be rounded up if six complete months or more have passed following the month of the member’s or beneficiary’s last birthday.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Process for applying.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claim for a single life annuity under this subrule must be filed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nonspouse beneficiary must file a claim for a single life annuity within 12 months of the member’s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beneficiary who is a surviving spouse must file a claim for a single life annuity within 12 months of the member’s death, or by the date that the member would have attained the age of 72, whichever period is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Elections to receive the lump sum amount or single life annuity shall be irrevocable once the first payment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 further benefits will be payable following the death of any beneficiary who qualifies and elects to receive the single life annuity provided under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provisions of this subrule shall not apply to members who died before January 1, 2001.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14.12(3)</w:t>
      </w:r>
      <w:r>
        <w:rPr>
          <w:rFonts w:ascii="Times New Roman" w:hAnsi="Times New Roman"/>
          <w:b w:val="false"/>
          <w:i w:val="false"/>
          <w:color w:val="000000"/>
          <w:sz w:val="22"/>
        </w:rPr>
        <w:t> </w:t>
      </w:r>
      <w:r>
        <w:rPr>
          <w:rFonts w:ascii="Times New Roman" w:hAnsi="Times New Roman"/>
          <w:b w:val="false"/>
          <w:i/>
          <w:color w:val="000000"/>
          <w:sz w:val="22"/>
        </w:rPr>
        <w:t xml:space="preserve">Accumulated contributions lump sum benefit. </w:t>
      </w:r>
      <w:r>
        <w:rPr>
          <w:rFonts w:ascii="Times New Roman" w:hAnsi="Times New Roman"/>
          <w:b w:val="false"/>
          <w:i w:val="false"/>
          <w:color w:val="000000"/>
          <w:sz w:val="22"/>
        </w:rPr>
        <w:t xml:space="preserve">An accumulated contribution lump sum death benefit is equal to the accumulated contributions of the member plus the product of an amount equal to the highest year of covered wages of the deceased member and the number of years of membership service divided by the “applicable denominator,” as provided in Iowa Code section </w:t>
      </w:r>
      <w:hyperlink r:id="rId16">
        <w:r>
          <w:rPr>
            <w:rStyle w:val="Hyperlink"/>
            <w:rFonts w:ascii="Times New Roman" w:hAnsi="Times New Roman"/>
            <w:b w:val="false"/>
            <w:i w:val="false"/>
            <w:color w:val="000000"/>
            <w:sz w:val="22"/>
          </w:rPr>
          <w:t>97B.52(1)</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calculation of the highest year of covered wages shall use the highest calendar year of covered wages reported to IPERS.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14.12(4)</w:t>
      </w:r>
      <w:r>
        <w:rPr>
          <w:rFonts w:ascii="Times New Roman" w:hAnsi="Times New Roman"/>
          <w:b w:val="false"/>
          <w:i w:val="false"/>
          <w:color w:val="000000"/>
          <w:sz w:val="22"/>
        </w:rPr>
        <w:t> </w:t>
      </w:r>
      <w:r>
        <w:rPr>
          <w:rFonts w:ascii="Times New Roman" w:hAnsi="Times New Roman"/>
          <w:b w:val="false"/>
          <w:i/>
          <w:color w:val="000000"/>
          <w:sz w:val="22"/>
        </w:rPr>
        <w:t xml:space="preserve">Present value lump sum. </w:t>
      </w:r>
      <w:r>
        <w:rPr>
          <w:rFonts w:ascii="Times New Roman" w:hAnsi="Times New Roman"/>
          <w:b w:val="false"/>
          <w:i w:val="false"/>
          <w:color w:val="000000"/>
          <w:sz w:val="22"/>
        </w:rPr>
        <w:t>A lump sum death benefit equal to the present value of the member’s accrued benefit is calculated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IPERS shall calculate a member’s retirement benefit at earliest normal retirement age under IPERS Option 2, based on the member’s covered wages and service credits at the date of death and the retirement benefit formula in effect in the month following the date of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purposes of determining the “member date of death annuity factor” under the conversion tables supplied by IPERS’ actuary, IPERS shall assume that “age” means the member’s nearest age at the member’s date of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purposes of determining the “member unreduced retirement annuity factor” under the conversion tables supplied by IPERS’ actuary, IPERS shall assume that “age” means the member’s nearest age at the member’s earliest normal retirement date. If a member had already attained the member’s earliest normal retirement date, IPERS shall assume that “age” means the member’s nearest age at the date of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14.12(5)</w:t>
      </w:r>
      <w:r>
        <w:rPr>
          <w:rFonts w:ascii="Times New Roman" w:hAnsi="Times New Roman"/>
          <w:b w:val="false"/>
          <w:i w:val="false"/>
          <w:color w:val="000000"/>
          <w:sz w:val="22"/>
        </w:rPr>
        <w:t> </w:t>
      </w:r>
      <w:r>
        <w:rPr>
          <w:rFonts w:ascii="Times New Roman" w:hAnsi="Times New Roman"/>
          <w:b w:val="false"/>
          <w:i/>
          <w:color w:val="000000"/>
          <w:sz w:val="22"/>
        </w:rPr>
        <w:t xml:space="preserve">Single life annuity benefit. </w:t>
      </w:r>
      <w:r>
        <w:rPr>
          <w:rFonts w:ascii="Times New Roman" w:hAnsi="Times New Roman"/>
          <w:b w:val="false"/>
          <w:i w:val="false"/>
          <w:color w:val="000000"/>
          <w:sz w:val="22"/>
        </w:rPr>
        <w:t>Procedures and assumptions for converting the actuarial equivalent of a lump sum death benefit to a single life annuity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purposes of determining the “age of beneficiary annuity factor” under the conversion tables supplied by IPERS’ actuary, IPERS shall assume that “age” means the beneficiary’s nearest age as of the beneficiary’s first month of entitlement.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beneficiary’s first month of entitlement is the month after the date of the member’s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Effective for claims filed after June 30, 2004, no retroactive payments of the single life annuity shall be made under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Effective for claims filed after June 30, 2004, the beneficiary whose single life annuity is less than $600 per year shall be able to receive only the lump sum payment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sole beneficiary who is eligible for and elects to receive a single life annuity under this subrule shall also qualify for the favorable experience dividend (FED) payments authorized under rule 495—15.2(97B), subject to the requirements of that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14.12(6)</w:t>
      </w:r>
      <w:r>
        <w:rPr>
          <w:rFonts w:ascii="Times New Roman" w:hAnsi="Times New Roman"/>
          <w:b w:val="false"/>
          <w:i w:val="false"/>
          <w:color w:val="000000"/>
          <w:sz w:val="22"/>
        </w:rPr>
        <w:t> </w:t>
      </w:r>
      <w:r>
        <w:rPr>
          <w:rFonts w:ascii="Times New Roman" w:hAnsi="Times New Roman"/>
          <w:b w:val="false"/>
          <w:i/>
          <w:color w:val="000000"/>
          <w:sz w:val="22"/>
        </w:rPr>
        <w:t xml:space="preserve">Retired reemployed members and aged 70 members who retire without terminating employment. </w:t>
      </w:r>
      <w:r>
        <w:rPr>
          <w:rFonts w:ascii="Times New Roman" w:hAnsi="Times New Roman"/>
          <w:b w:val="false"/>
          <w:i w:val="false"/>
          <w:color w:val="000000"/>
          <w:sz w:val="22"/>
        </w:rPr>
        <w:t>Preretirement death benefits for retired reemployed members and aged 70 members who retire without terminating employment shall be calculated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beneficiaries of such members who elect IPERS Option 4 or 6 at retirement, IPERS shall recompute (for retired reemployed members) or recalculate/recompute (for aged 70 members who retired without terminating employment) the member’s monthly benefits as though the member had elected to terminate employment as of the date of death, to have the member’s benefits adjusted for postretirement wages, and then lived into the recomputation or recalculation/recomputation (as applicable) first month of entitlement.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recomputation provided under paragraph 14.12(6)</w:t>
      </w:r>
      <w:r>
        <w:rPr>
          <w:rFonts w:ascii="Times New Roman" w:hAnsi="Times New Roman"/>
          <w:b w:val="false"/>
          <w:i/>
          <w:color w:val="000000"/>
          <w:sz w:val="22"/>
        </w:rPr>
        <w:t>“a”</w:t>
      </w:r>
      <w:r>
        <w:rPr>
          <w:rFonts w:ascii="Times New Roman" w:hAnsi="Times New Roman"/>
          <w:b w:val="false"/>
          <w:i w:val="false"/>
          <w:color w:val="000000"/>
          <w:sz w:val="22"/>
        </w:rPr>
        <w:t xml:space="preserve"> shall apply only to beneficiaries of members who elected IPERS Option 4 or 6, where the member’s monthly benefit would have been increased by the period of reemployment, and is subject to the limitations of Iowa Code sections </w:t>
      </w:r>
      <w:hyperlink r:id="rId17">
        <w:r>
          <w:rPr>
            <w:rStyle w:val="Hyperlink"/>
            <w:rFonts w:ascii="Times New Roman" w:hAnsi="Times New Roman"/>
            <w:b w:val="false"/>
            <w:i w:val="false"/>
            <w:color w:val="000000"/>
            <w:sz w:val="22"/>
          </w:rPr>
          <w:t>97B.48A</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97B.49A</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97B.49B</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97B.49C</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97B.49D</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97B.49G</w:t>
        </w:r>
      </w:hyperlink>
      <w:r>
        <w:rPr>
          <w:rFonts w:ascii="Times New Roman" w:hAnsi="Times New Roman"/>
          <w:b w:val="false"/>
          <w:i w:val="false"/>
          <w:color w:val="000000"/>
          <w:sz w:val="22"/>
        </w:rPr>
        <w:t>. The recalculation/recomputations provided under paragraph 14.12(6)</w:t>
      </w:r>
      <w:r>
        <w:rPr>
          <w:rFonts w:ascii="Times New Roman" w:hAnsi="Times New Roman"/>
          <w:b w:val="false"/>
          <w:i/>
          <w:color w:val="000000"/>
          <w:sz w:val="22"/>
        </w:rPr>
        <w:t>“a”</w:t>
      </w:r>
      <w:r>
        <w:rPr>
          <w:rFonts w:ascii="Times New Roman" w:hAnsi="Times New Roman"/>
          <w:b w:val="false"/>
          <w:i w:val="false"/>
          <w:color w:val="000000"/>
          <w:sz w:val="22"/>
        </w:rPr>
        <w:t xml:space="preserve"> shall apply only to beneficiaries of members who elected IPERS Option 4 or 6, where the member’s monthly benefit would have been increased by the period of employment after the initial retirement, and is subject to the limitations of Iowa Code sections </w:t>
      </w:r>
      <w:hyperlink r:id="rId23">
        <w:r>
          <w:rPr>
            <w:rStyle w:val="Hyperlink"/>
            <w:rFonts w:ascii="Times New Roman" w:hAnsi="Times New Roman"/>
            <w:b w:val="false"/>
            <w:i w:val="false"/>
            <w:color w:val="000000"/>
            <w:sz w:val="22"/>
          </w:rPr>
          <w:t>97B.49A</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97B.49B</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97B.49C</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97B.49D</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97B.49G</w:t>
        </w:r>
      </w:hyperlink>
      <w:r>
        <w:rPr>
          <w:rFonts w:ascii="Times New Roman" w:hAnsi="Times New Roman"/>
          <w:b w:val="false"/>
          <w:i w:val="false"/>
          <w:color w:val="000000"/>
          <w:sz w:val="22"/>
        </w:rPr>
        <w:t xml:space="preserve">. In all other cases, including cases where members previously received a lump sum payment under Iowa Code section </w:t>
      </w:r>
      <w:hyperlink r:id="rId28">
        <w:r>
          <w:rPr>
            <w:rStyle w:val="Hyperlink"/>
            <w:rFonts w:ascii="Times New Roman" w:hAnsi="Times New Roman"/>
            <w:b w:val="false"/>
            <w:i w:val="false"/>
            <w:color w:val="000000"/>
            <w:sz w:val="22"/>
          </w:rPr>
          <w:t>97B.48(1)</w:t>
        </w:r>
      </w:hyperlink>
      <w:r>
        <w:rPr>
          <w:rFonts w:ascii="Times New Roman" w:hAnsi="Times New Roman"/>
          <w:b w:val="false"/>
          <w:i w:val="false"/>
          <w:color w:val="000000"/>
          <w:sz w:val="22"/>
        </w:rPr>
        <w:t xml:space="preserve"> in lieu of a monthly retirement allowance, preretirement death benefits under this paragraph shall be the lump sum amount equal to the accumulated employee and accumulated employer contributions.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Beneficiaries of members who had elected IPERS Option 4 or 6 may also elect to receive the accumulated employer and accumulated employee contributions described in paragraph 14.12(6)</w:t>
      </w:r>
      <w:r>
        <w:rPr>
          <w:rFonts w:ascii="Times New Roman" w:hAnsi="Times New Roman"/>
          <w:b w:val="false"/>
          <w:i/>
          <w:color w:val="000000"/>
          <w:sz w:val="22"/>
        </w:rPr>
        <w:t>“b”</w:t>
      </w:r>
      <w:r>
        <w:rPr>
          <w:rFonts w:ascii="Times New Roman" w:hAnsi="Times New Roman"/>
          <w:b w:val="false"/>
          <w:i w:val="false"/>
          <w:color w:val="000000"/>
          <w:sz w:val="22"/>
        </w:rPr>
        <w:t xml:space="preserve"> in lieu of the increased monthly annuity amount. Notwithstanding paragraph 14.12(6)</w:t>
      </w:r>
      <w:r>
        <w:rPr>
          <w:rFonts w:ascii="Times New Roman" w:hAnsi="Times New Roman"/>
          <w:b w:val="false"/>
          <w:i/>
          <w:color w:val="000000"/>
          <w:sz w:val="22"/>
        </w:rPr>
        <w:t>“b”</w:t>
      </w:r>
      <w:r>
        <w:rPr>
          <w:rFonts w:ascii="Times New Roman" w:hAnsi="Times New Roman"/>
          <w:b w:val="false"/>
          <w:i w:val="false"/>
          <w:color w:val="000000"/>
          <w:sz w:val="22"/>
        </w:rPr>
        <w:t xml:space="preserve"> above, if the member elected IPERS Option 5 at retirement, the lump sum amount payable under this paragraph shall be the greater of the applicable commuted lump sum or the accumulated employee and accumulated employer contributions.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14.12(7)</w:t>
      </w:r>
      <w:r>
        <w:rPr>
          <w:rFonts w:ascii="Times New Roman" w:hAnsi="Times New Roman"/>
          <w:b w:val="false"/>
          <w:i w:val="false"/>
          <w:color w:val="000000"/>
          <w:sz w:val="22"/>
        </w:rPr>
        <w:t> </w:t>
      </w:r>
      <w:r>
        <w:rPr>
          <w:rFonts w:ascii="Times New Roman" w:hAnsi="Times New Roman"/>
          <w:b w:val="false"/>
          <w:i/>
          <w:color w:val="000000"/>
          <w:sz w:val="22"/>
        </w:rPr>
        <w:t xml:space="preserve">Inactive member, not vested by service death benefit.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deaths occurring after June 30, 2004, and before July 1, 2012, for inactive members who have less than 16 quarters of service credit, preretirement death benefits shall be provided solely under Iowa Code section </w:t>
      </w:r>
      <w:hyperlink r:id="rId29">
        <w:r>
          <w:rPr>
            <w:rStyle w:val="Hyperlink"/>
            <w:rFonts w:ascii="Times New Roman" w:hAnsi="Times New Roman"/>
            <w:b w:val="false"/>
            <w:i w:val="false"/>
            <w:color w:val="000000"/>
            <w:sz w:val="22"/>
          </w:rPr>
          <w:t>97B.52(1)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shall only be payable in lump sum amounts. For purposes of this paragraph, an inactive member is a member as defined under Iowa Code section </w:t>
      </w:r>
      <w:hyperlink r:id="rId30">
        <w:r>
          <w:rPr>
            <w:rStyle w:val="Hyperlink"/>
            <w:rFonts w:ascii="Times New Roman" w:hAnsi="Times New Roman"/>
            <w:b w:val="false"/>
            <w:i w:val="false"/>
            <w:color w:val="000000"/>
            <w:sz w:val="22"/>
          </w:rPr>
          <w:t>97B.1A(12)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deaths occurring after June 30, 2012, preretirement death benefits shall be provided solely under Iowa Code section </w:t>
      </w:r>
      <w:hyperlink r:id="rId31">
        <w:r>
          <w:rPr>
            <w:rStyle w:val="Hyperlink"/>
            <w:rFonts w:ascii="Times New Roman" w:hAnsi="Times New Roman"/>
            <w:b w:val="false"/>
            <w:i w:val="false"/>
            <w:color w:val="000000"/>
            <w:sz w:val="22"/>
          </w:rPr>
          <w:t>97B.52(1)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shall only be payable in lump sum amounts for inactive members who are not vested by service. For purposes of this paragraph, an inactive member is a member as defined under Iowa Code section </w:t>
      </w:r>
      <w:hyperlink r:id="rId32">
        <w:r>
          <w:rPr>
            <w:rStyle w:val="Hyperlink"/>
            <w:rFonts w:ascii="Times New Roman" w:hAnsi="Times New Roman"/>
            <w:b w:val="false"/>
            <w:i w:val="false"/>
            <w:color w:val="000000"/>
            <w:sz w:val="22"/>
          </w:rPr>
          <w:t>97B.1A(12)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0017C</w:t>
      </w:r>
      <w:r>
        <w:rPr>
          <w:rFonts w:ascii="Times New Roman" w:hAnsi="Times New Roman"/>
          <w:b w:val="false"/>
          <w:i w:val="false"/>
          <w:color w:val="000000"/>
          <w:sz w:val="16"/>
        </w:rPr>
        <w:t>, IAB 2/22/12, effective 3/28/12</w:t>
      </w:r>
      <w:r>
        <w:rPr>
          <w:rFonts w:ascii="Times New Roman" w:hAnsi="Times New Roman"/>
          <w:b w:val="false"/>
          <w:i w:val="false"/>
          <w:color w:val="000000"/>
          <w:sz w:val="16"/>
        </w:rPr>
        <w:t xml:space="preserve">; </w:t>
      </w:r>
      <w:r>
        <w:rPr>
          <w:rFonts w:ascii="Times New Roman" w:hAnsi="Times New Roman"/>
          <w:b/>
          <w:i w:val="false"/>
          <w:color w:val="000000"/>
          <w:sz w:val="16"/>
        </w:rPr>
        <w:t>ARC 2402C</w:t>
      </w:r>
      <w:r>
        <w:rPr>
          <w:rFonts w:ascii="Times New Roman" w:hAnsi="Times New Roman"/>
          <w:b w:val="false"/>
          <w:i w:val="false"/>
          <w:color w:val="000000"/>
          <w:sz w:val="16"/>
        </w:rPr>
        <w:t>, IAB 2/17/16, effective 3/23/16</w:t>
      </w:r>
      <w:r>
        <w:rPr>
          <w:rFonts w:ascii="Times New Roman" w:hAnsi="Times New Roman"/>
          <w:b w:val="false"/>
          <w:i w:val="false"/>
          <w:color w:val="000000"/>
          <w:sz w:val="16"/>
        </w:rPr>
        <w:t xml:space="preserve">; </w:t>
      </w:r>
      <w:r>
        <w:rPr>
          <w:rFonts w:ascii="Times New Roman" w:hAnsi="Times New Roman"/>
          <w:b/>
          <w:i w:val="false"/>
          <w:color w:val="000000"/>
          <w:sz w:val="16"/>
        </w:rPr>
        <w:t>ARC 5027C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495—14.13</w:t>
      </w:r>
      <w:r>
        <w:rPr>
          <w:rFonts w:ascii="Times New Roman" w:hAnsi="Times New Roman"/>
          <w:b/>
          <w:i w:val="false"/>
          <w:color w:val="000000"/>
          <w:sz w:val="22"/>
        </w:rPr>
        <w:t xml:space="preserve">(97B) </w:t>
      </w:r>
      <w:r>
        <w:rPr>
          <w:rFonts w:ascii="Times New Roman" w:hAnsi="Times New Roman"/>
          <w:b/>
          <w:i w:val="false"/>
          <w:color w:val="000000"/>
          <w:sz w:val="22"/>
        </w:rPr>
        <w:t xml:space="preserve">Procedures for deaths of certain voluntary emergency services personnel occurring in the line of duty. </w:t>
      </w:r>
      <w:r>
        <w:rPr>
          <w:rFonts w:ascii="Times New Roman" w:hAnsi="Times New Roman"/>
          <w:b w:val="false"/>
          <w:i w:val="false"/>
          <w:color w:val="000000"/>
          <w:sz w:val="22"/>
        </w:rPr>
        <w:t xml:space="preserve">Effective July 1, 2006, for a member who dies while performing the functions of a voluntary emergency services provider as described under Iowa Code section </w:t>
      </w:r>
      <w:hyperlink r:id="rId33">
        <w:r>
          <w:rPr>
            <w:rStyle w:val="Hyperlink"/>
            <w:rFonts w:ascii="Times New Roman" w:hAnsi="Times New Roman"/>
            <w:b w:val="false"/>
            <w:i w:val="false"/>
            <w:color w:val="000000"/>
            <w:sz w:val="22"/>
          </w:rPr>
          <w:t>85.61</w:t>
        </w:r>
      </w:hyperlink>
      <w:r>
        <w:rPr>
          <w:rFonts w:ascii="Times New Roman" w:hAnsi="Times New Roman"/>
          <w:b w:val="false"/>
          <w:i w:val="false"/>
          <w:color w:val="000000"/>
          <w:sz w:val="22"/>
        </w:rPr>
        <w:t xml:space="preserve"> or </w:t>
      </w:r>
      <w:hyperlink r:id="rId34">
        <w:r>
          <w:rPr>
            <w:rStyle w:val="Hyperlink"/>
            <w:rFonts w:ascii="Times New Roman" w:hAnsi="Times New Roman"/>
            <w:b w:val="false"/>
            <w:i w:val="false"/>
            <w:color w:val="000000"/>
            <w:sz w:val="22"/>
          </w:rPr>
          <w:t>147A.1</w:t>
        </w:r>
      </w:hyperlink>
      <w:r>
        <w:rPr>
          <w:rFonts w:ascii="Times New Roman" w:hAnsi="Times New Roman"/>
          <w:b w:val="false"/>
          <w:i w:val="false"/>
          <w:color w:val="000000"/>
          <w:sz w:val="22"/>
        </w:rPr>
        <w:t xml:space="preserve">, benefits for deaths occurring in the line of duty shall be paid pursuant to Iowa Code section </w:t>
      </w:r>
      <w:hyperlink r:id="rId35">
        <w:r>
          <w:rPr>
            <w:rStyle w:val="Hyperlink"/>
            <w:rFonts w:ascii="Times New Roman" w:hAnsi="Times New Roman"/>
            <w:b w:val="false"/>
            <w:i w:val="false"/>
            <w:color w:val="000000"/>
            <w:sz w:val="22"/>
          </w:rPr>
          <w:t>100B.31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5027C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495—14.14</w:t>
      </w:r>
      <w:r>
        <w:rPr>
          <w:rFonts w:ascii="Times New Roman" w:hAnsi="Times New Roman"/>
          <w:b/>
          <w:i w:val="false"/>
          <w:color w:val="000000"/>
          <w:sz w:val="22"/>
        </w:rPr>
        <w:t xml:space="preserve">(97B) </w:t>
      </w:r>
      <w:r>
        <w:rPr>
          <w:rFonts w:ascii="Times New Roman" w:hAnsi="Times New Roman"/>
          <w:b/>
          <w:i w:val="false"/>
          <w:color w:val="000000"/>
          <w:sz w:val="22"/>
        </w:rPr>
        <w:t xml:space="preserve">Rollovers by nonspouse beneficiaries. </w:t>
      </w:r>
      <w:r>
        <w:rPr>
          <w:rFonts w:ascii="Times New Roman" w:hAnsi="Times New Roman"/>
          <w:b w:val="false"/>
          <w:i w:val="false"/>
          <w:color w:val="000000"/>
          <w:sz w:val="22"/>
        </w:rPr>
        <w:t xml:space="preserve">Effective January 1, 2007, nonspouse beneficiaries shall be permitted to request a direct rollover of such beneficiaries’ death benefit payments to traditional IRA accounts established in accordance with </w:t>
      </w:r>
      <w:r>
        <w:rPr>
          <w:rFonts w:ascii="Times New Roman" w:hAnsi="Times New Roman"/>
          <w:b w:val="false"/>
          <w:i w:val="false"/>
          <w:color w:val="000000"/>
          <w:sz w:val="22"/>
        </w:rPr>
        <w:t>Section 829 of the Pension Protection Act of 2006</w:t>
      </w:r>
      <w:r>
        <w:rPr>
          <w:rFonts w:ascii="Times New Roman" w:hAnsi="Times New Roman"/>
          <w:b w:val="false"/>
          <w:i w:val="false"/>
          <w:color w:val="000000"/>
          <w:sz w:val="22"/>
        </w:rPr>
        <w:t xml:space="preserve"> and IRS Notice 2007-7. IPERS shall determine the amount eligible for direct rollover under IRC Section 401(a)(9), if any, and the procedural requirements for requesting such rollovers. It shall be the beneficiaries’ responsibility to determine that the recipient IRAs meet the structural and operational requirements of Section 829 and Notice 2007-7. IPERS shall bear no responsibility for rollovers to IRA accounts that fail to meet such requirements.</w:t>
      </w:r>
    </w:p>
    <w:p>
      <w:pPr>
        <w:spacing w:before="0" w:after="0"/>
        <w:ind w:left="120"/>
        <w:jc w:val="both"/>
      </w:pPr>
      <w:r>
        <w:rPr>
          <w:rFonts w:ascii="Times New Roman" w:hAnsi="Times New Roman"/>
          <w:b w:val="false"/>
          <w:i w:val="false"/>
          <w:color w:val="000000"/>
          <w:sz w:val="22"/>
        </w:rPr>
        <w:t>Effective January 1, 2008, IPERS will also allow rollovers under this rule to Roth IRA accounts established in accordance with the structural and operational requirements of Section 829 and Notice 2007-7.</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5027C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495—14.15</w:t>
      </w:r>
      <w:r>
        <w:rPr>
          <w:rFonts w:ascii="Times New Roman" w:hAnsi="Times New Roman"/>
          <w:b/>
          <w:i w:val="false"/>
          <w:color w:val="000000"/>
          <w:sz w:val="22"/>
        </w:rPr>
        <w:t xml:space="preserve">(97B) </w:t>
      </w:r>
      <w:r>
        <w:rPr>
          <w:rFonts w:ascii="Times New Roman" w:hAnsi="Times New Roman"/>
          <w:b/>
          <w:i w:val="false"/>
          <w:color w:val="000000"/>
          <w:sz w:val="22"/>
        </w:rPr>
        <w:t xml:space="preserve">Required minimum distribution (RMD) basic calculation.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14.15(1)</w:t>
      </w:r>
      <w:r>
        <w:rPr>
          <w:rFonts w:ascii="Times New Roman" w:hAnsi="Times New Roman"/>
          <w:b w:val="false"/>
          <w:i w:val="false"/>
          <w:color w:val="000000"/>
          <w:sz w:val="22"/>
        </w:rPr>
        <w:t> </w:t>
      </w:r>
      <w:r>
        <w:rPr>
          <w:rFonts w:ascii="Times New Roman" w:hAnsi="Times New Roman"/>
          <w:b w:val="false"/>
          <w:i w:val="false"/>
          <w:color w:val="000000"/>
          <w:sz w:val="22"/>
        </w:rPr>
        <w:t>The RMD for a member who retired under an option with a lump sum death benefit and died after the member’s required beginning date (RBD) is calculated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Step 1. Determine the number of payments remaining for the calendar year in which the member died. The current month’s payment is not used in this calculation.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Step 2. Multiply the number of remaining payments determined in Step 1 by the gross amount of the member’s last monthly payment to get the RMD amount. If the lump sum death benefit is less than the RMD, then the RMD is the lump sum death benefit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Step 3. Determine the total non-RMD amount by subtracting the RMD as determined in Step 2 from the lump sum death benefit.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eligible rollover amount is the total non-RMD amount as determined in Step 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14.15(2)</w:t>
      </w:r>
      <w:r>
        <w:rPr>
          <w:rFonts w:ascii="Times New Roman" w:hAnsi="Times New Roman"/>
          <w:b w:val="false"/>
          <w:i w:val="false"/>
          <w:color w:val="000000"/>
          <w:sz w:val="22"/>
        </w:rPr>
        <w:t> </w:t>
      </w:r>
      <w:r>
        <w:rPr>
          <w:rFonts w:ascii="Times New Roman" w:hAnsi="Times New Roman"/>
          <w:b w:val="false"/>
          <w:i w:val="false"/>
          <w:color w:val="000000"/>
          <w:sz w:val="22"/>
        </w:rPr>
        <w:t>In order to allocate nontaxable amounts between RMD and non-RMD, the calculation is performed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Nontaxable amounts are allocated first to the RMD portion of the lump sum death benefit.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nontaxable amounts are greater than the RMD amount, the remaining nontaxable amounts are allocated to the non-RMD portion of the lump sum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nontaxable amounts are less than the RMD amount, the remaining portion of the RMD amount is composed of taxable amounts.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8929B</w:t>
      </w:r>
      <w:r>
        <w:rPr>
          <w:rFonts w:ascii="Times New Roman" w:hAnsi="Times New Roman"/>
          <w:b w:val="false"/>
          <w:i w:val="false"/>
          <w:color w:val="000000"/>
          <w:sz w:val="16"/>
        </w:rPr>
        <w:t>, IAB 7/14/10, effective 6/21/10</w:t>
      </w:r>
      <w:r>
        <w:rPr>
          <w:rFonts w:ascii="Times New Roman" w:hAnsi="Times New Roman"/>
          <w:b w:val="false"/>
          <w:i w:val="false"/>
          <w:color w:val="000000"/>
          <w:sz w:val="16"/>
        </w:rPr>
        <w:t xml:space="preserve">; </w:t>
      </w:r>
      <w:r>
        <w:rPr>
          <w:rFonts w:ascii="Times New Roman" w:hAnsi="Times New Roman"/>
          <w:b/>
          <w:i w:val="false"/>
          <w:color w:val="000000"/>
          <w:sz w:val="16"/>
        </w:rPr>
        <w:t>ARC 9068B</w:t>
      </w:r>
      <w:r>
        <w:rPr>
          <w:rFonts w:ascii="Times New Roman" w:hAnsi="Times New Roman"/>
          <w:b w:val="false"/>
          <w:i w:val="false"/>
          <w:color w:val="000000"/>
          <w:sz w:val="16"/>
        </w:rPr>
        <w:t>, IAB 9/8/10, effective 10/13/10</w:t>
      </w:r>
      <w:r>
        <w:rPr>
          <w:rFonts w:ascii="Times New Roman" w:hAnsi="Times New Roman"/>
          <w:b w:val="false"/>
          <w:i w:val="false"/>
          <w:color w:val="000000"/>
          <w:sz w:val="16"/>
        </w:rPr>
        <w:t xml:space="preserve">; </w:t>
      </w:r>
      <w:r>
        <w:rPr>
          <w:rFonts w:ascii="Times New Roman" w:hAnsi="Times New Roman"/>
          <w:b/>
          <w:i w:val="false"/>
          <w:color w:val="000000"/>
          <w:sz w:val="16"/>
        </w:rPr>
        <w:t>ARC 5027C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495—14.16</w:t>
      </w:r>
      <w:r>
        <w:rPr>
          <w:rFonts w:ascii="Times New Roman" w:hAnsi="Times New Roman"/>
          <w:b/>
          <w:i w:val="false"/>
          <w:color w:val="000000"/>
          <w:sz w:val="22"/>
        </w:rPr>
        <w:t xml:space="preserve">(97B) </w:t>
      </w:r>
      <w:r>
        <w:rPr>
          <w:rFonts w:ascii="Times New Roman" w:hAnsi="Times New Roman"/>
          <w:b/>
          <w:i w:val="false"/>
          <w:color w:val="000000"/>
          <w:sz w:val="22"/>
        </w:rPr>
        <w:t xml:space="preserve">Beneficiary revocation pursuant to Iowa Code section </w:t>
      </w:r>
      <w:hyperlink r:id="rId36">
        <w:r>
          <w:rPr>
            <w:rStyle w:val="Hyperlink"/>
            <w:rFonts w:ascii="Times New Roman" w:hAnsi="Times New Roman"/>
            <w:b/>
            <w:i w:val="false"/>
            <w:color w:val="000000"/>
            <w:sz w:val="22"/>
          </w:rPr>
          <w:t>598.20B</w:t>
        </w:r>
      </w:hyperlink>
      <w:r>
        <w:rPr>
          <w:rFonts w:ascii="Times New Roman" w:hAnsi="Times New Roman"/>
          <w:b/>
          <w:i w:val="false"/>
          <w:color w:val="000000"/>
          <w:sz w:val="22"/>
        </w:rPr>
        <w:t xml:space="preserve">, dissolution of marriage. </w:t>
      </w:r>
      <w:r>
        <w:rPr>
          <w:rFonts w:ascii="Times New Roman" w:hAnsi="Times New Roman"/>
          <w:b w:val="false"/>
          <w:i w:val="false"/>
          <w:color w:val="000000"/>
          <w:sz w:val="22"/>
        </w:rPr>
        <w:t>IPERS is not liable for the payment of death benefits to a beneficiary pursuant to a beneficiary designation that has been revoked or reinstated by a divorce, annulment, or remarriage before IPERS receives the written notice set forth in subrule 14.16(1). Furthermore, IPERS shall only be liable for payments made after receipt of such written notice if the written notice is received at least ten calendar days prior to the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14.16(1)</w:t>
      </w:r>
      <w:r>
        <w:rPr>
          <w:rFonts w:ascii="Times New Roman" w:hAnsi="Times New Roman"/>
          <w:b w:val="false"/>
          <w:i w:val="false"/>
          <w:color w:val="000000"/>
          <w:sz w:val="22"/>
        </w:rPr>
        <w:t> </w:t>
      </w:r>
      <w:r>
        <w:rPr>
          <w:rFonts w:ascii="Times New Roman" w:hAnsi="Times New Roman"/>
          <w:b w:val="false"/>
          <w:i/>
          <w:color w:val="000000"/>
          <w:sz w:val="22"/>
        </w:rPr>
        <w:t xml:space="preserve">Form of notice. </w:t>
      </w:r>
      <w:r>
        <w:rPr>
          <w:rFonts w:ascii="Times New Roman" w:hAnsi="Times New Roman"/>
          <w:b w:val="false"/>
          <w:i w:val="false"/>
          <w:color w:val="000000"/>
          <w:sz w:val="22"/>
        </w:rPr>
        <w:t>The written notice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deceased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of the person(s) whose entitlement to IPERS death benefits is being challenged,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person(s) asserting an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statement that the decedent’s divorce, annulment, or remarriage revoked the entitlement of the person(s) whose status is being challenged to the IPERS death benefits in question,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copy of the divorce decree upon which the claim is based.</w:t>
      </w:r>
    </w:p>
    <w:p>
      <w:pPr>
        <w:spacing w:before="0" w:after="0"/>
        <w:ind w:left="120"/>
        <w:jc w:val="both"/>
      </w:pPr>
      <w:r>
        <w:rPr>
          <w:rFonts w:ascii="Times New Roman" w:hAnsi="Times New Roman"/>
          <w:b w:val="false"/>
          <w:i w:val="false"/>
          <w:color w:val="000000"/>
          <w:sz w:val="22"/>
        </w:rPr>
        <w:t>In addition to the above information, if the person whose entitlement is being challenged is not the former spouse, the written notice must indicate that the person was related to the former spouse, but not the member, by blood, adoption or affinity, and state the nature of the relationship.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14.16(2)</w:t>
      </w:r>
      <w:r>
        <w:rPr>
          <w:rFonts w:ascii="Times New Roman" w:hAnsi="Times New Roman"/>
          <w:b w:val="false"/>
          <w:i w:val="false"/>
          <w:color w:val="000000"/>
          <w:sz w:val="22"/>
        </w:rPr>
        <w:t> </w:t>
      </w:r>
      <w:r>
        <w:rPr>
          <w:rFonts w:ascii="Times New Roman" w:hAnsi="Times New Roman"/>
          <w:b w:val="false"/>
          <w:i/>
          <w:color w:val="000000"/>
          <w:sz w:val="22"/>
        </w:rPr>
        <w:t xml:space="preserve">Delivery of notice. </w:t>
      </w:r>
      <w:r>
        <w:rPr>
          <w:rFonts w:ascii="Times New Roman" w:hAnsi="Times New Roman"/>
          <w:b w:val="false"/>
          <w:i w:val="false"/>
          <w:color w:val="000000"/>
          <w:sz w:val="22"/>
        </w:rPr>
        <w:t>Written notice under this rule must be addressed to IPERS General Counsel and mailed to IPERS by registered mail or served upon IPERS in the same manner as a summons in a civil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14.16(3)</w:t>
      </w:r>
      <w:r>
        <w:rPr>
          <w:rFonts w:ascii="Times New Roman" w:hAnsi="Times New Roman"/>
          <w:b w:val="false"/>
          <w:i w:val="false"/>
          <w:color w:val="000000"/>
          <w:sz w:val="22"/>
        </w:rPr>
        <w:t> </w:t>
      </w:r>
      <w:r>
        <w:rPr>
          <w:rFonts w:ascii="Times New Roman" w:hAnsi="Times New Roman"/>
          <w:b w:val="false"/>
          <w:i/>
          <w:color w:val="000000"/>
          <w:sz w:val="22"/>
        </w:rPr>
        <w:t xml:space="preserve">Administration. </w:t>
      </w:r>
      <w:r>
        <w:rPr>
          <w:rFonts w:ascii="Times New Roman" w:hAnsi="Times New Roman"/>
          <w:b w:val="false"/>
          <w:i w:val="false"/>
          <w:color w:val="000000"/>
          <w:sz w:val="22"/>
        </w:rPr>
        <w:t>Upon receipt of written notice that meets the requirements of subrules 14.16(1) and 14.16(2):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IPERS shall review the deceased member’s account and determine if there are moneys left to be distributed from the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IPERS shall pay the amounts owed, if any, to the probate court having jurisdiction over the decedent’s estate, if the deceased member has an open estate.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IPERS shall pay the amounts owed, if any, to the probate court that had or would have had jurisdiction over the decedent’s estate, if the deceased member’s estate is closed or an estate was not opened.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 IPERS makes applicable payments, a copy of the written notice received by IPERS shall be filed with the probate court.</w:t>
      </w:r>
    </w:p>
    <w:p>
      <w:pPr>
        <w:spacing w:before="0" w:after="0"/>
        <w:ind w:left="120"/>
        <w:jc w:val="both"/>
      </w:pPr>
      <w:r>
        <w:rPr>
          <w:rFonts w:ascii="Times New Roman" w:hAnsi="Times New Roman"/>
          <w:b w:val="false"/>
          <w:i w:val="false"/>
          <w:color w:val="000000"/>
          <w:sz w:val="22"/>
        </w:rPr>
        <w:t>If the probate court charges a filing fee for the deposit of amounts payable hereunder, IPERS shall deduct such filing fees and other court costs from the amounts payable prior to transfer. The probate court shall hold the funds and, upon its determination, shall order disbursement or transfer in accordance with the determination. Additional filing fees and court costs, if any, shall be charged upon disbursement either to the recipient or against the funds on deposit with the probate court, in the discretion of the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14.16(4)</w:t>
      </w:r>
      <w:r>
        <w:rPr>
          <w:rFonts w:ascii="Times New Roman" w:hAnsi="Times New Roman"/>
          <w:b w:val="false"/>
          <w:i w:val="false"/>
          <w:color w:val="000000"/>
          <w:sz w:val="22"/>
        </w:rPr>
        <w:t> </w:t>
      </w:r>
      <w:r>
        <w:rPr>
          <w:rFonts w:ascii="Times New Roman" w:hAnsi="Times New Roman"/>
          <w:b w:val="false"/>
          <w:i/>
          <w:color w:val="000000"/>
          <w:sz w:val="22"/>
        </w:rPr>
        <w:t xml:space="preserve">Release of claims. </w:t>
      </w:r>
      <w:r>
        <w:rPr>
          <w:rFonts w:ascii="Times New Roman" w:hAnsi="Times New Roman"/>
          <w:b w:val="false"/>
          <w:i w:val="false"/>
          <w:color w:val="000000"/>
          <w:sz w:val="22"/>
        </w:rPr>
        <w:t>Payments made to a probate court under this rule shall discharge IPERS from all claims by all persons for the value of amounts paid the court.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8601B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8929B</w:t>
      </w:r>
      <w:r>
        <w:rPr>
          <w:rFonts w:ascii="Times New Roman" w:hAnsi="Times New Roman"/>
          <w:b w:val="false"/>
          <w:i w:val="false"/>
          <w:color w:val="000000"/>
          <w:sz w:val="16"/>
        </w:rPr>
        <w:t>, IAB 7/14/10, effective 6/21/10</w:t>
      </w:r>
      <w:r>
        <w:rPr>
          <w:rFonts w:ascii="Times New Roman" w:hAnsi="Times New Roman"/>
          <w:b w:val="false"/>
          <w:i w:val="false"/>
          <w:color w:val="000000"/>
          <w:sz w:val="16"/>
        </w:rPr>
        <w:t xml:space="preserve">; </w:t>
      </w:r>
      <w:r>
        <w:rPr>
          <w:rFonts w:ascii="Times New Roman" w:hAnsi="Times New Roman"/>
          <w:b/>
          <w:i w:val="false"/>
          <w:color w:val="000000"/>
          <w:sz w:val="16"/>
        </w:rPr>
        <w:t>ARC 9068B</w:t>
      </w:r>
      <w:r>
        <w:rPr>
          <w:rFonts w:ascii="Times New Roman" w:hAnsi="Times New Roman"/>
          <w:b w:val="false"/>
          <w:i w:val="false"/>
          <w:color w:val="000000"/>
          <w:sz w:val="16"/>
        </w:rPr>
        <w:t>, IAB 9/8/10, effective 10/13/10</w:t>
      </w:r>
      <w:r>
        <w:rPr>
          <w:rFonts w:ascii="Times New Roman" w:hAnsi="Times New Roman"/>
          <w:b w:val="false"/>
          <w:i w:val="false"/>
          <w:color w:val="000000"/>
          <w:sz w:val="16"/>
        </w:rPr>
        <w:t xml:space="preserve">; </w:t>
      </w:r>
      <w:r>
        <w:rPr>
          <w:rFonts w:ascii="Times New Roman" w:hAnsi="Times New Roman"/>
          <w:b/>
          <w:i w:val="false"/>
          <w:color w:val="000000"/>
          <w:sz w:val="16"/>
        </w:rPr>
        <w:t>ARC 5027C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495—14.17</w:t>
      </w:r>
      <w:r>
        <w:rPr>
          <w:rFonts w:ascii="Times New Roman" w:hAnsi="Times New Roman"/>
          <w:b/>
          <w:i w:val="false"/>
          <w:color w:val="000000"/>
          <w:sz w:val="22"/>
        </w:rPr>
        <w:t xml:space="preserve">(97B) </w:t>
      </w:r>
      <w:r>
        <w:rPr>
          <w:rFonts w:ascii="Times New Roman" w:hAnsi="Times New Roman"/>
          <w:b/>
          <w:i w:val="false"/>
          <w:color w:val="000000"/>
          <w:sz w:val="22"/>
        </w:rPr>
        <w:t xml:space="preserve">Procedures for final distribution to heirs who have filed claims. </w:t>
      </w:r>
      <w:r>
        <w:rPr>
          <w:rFonts w:ascii="Times New Roman" w:hAnsi="Times New Roman"/>
          <w:b w:val="false"/>
          <w:i w:val="false"/>
          <w:color w:val="000000"/>
          <w:sz w:val="22"/>
        </w:rPr>
        <w:t>If a claimant has identified other persons in the claimant’s group who would be entitled to a share of the member’s death benefit, but such persons have not filed a claim within five years after the member’s death, or by the date required under IRC Section 401(a)(9) if earlier, the remainder of the member’s death benefit shall be paid in pro rata shares to the claimants who were previously paid a share of the death benefit. In order to comply with the applicable IRS limitations, the final payments under this rule shall be made by December 31 of the fifth year that begins after the member’s date of death, or by December 31 of the year that distribution is required under IRC Section 401(a)(9), if earlier. The sole recourse of any claimant who is a member of a group receiving payments hereunder or of any lower-numbered group that should have received all of such payments shall be against the claimants of the group that received death benefit payments.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7">
        <w:r>
          <w:rPr>
            <w:rStyle w:val="Hyperlink"/>
            <w:rFonts w:ascii="Times New Roman" w:hAnsi="Times New Roman"/>
            <w:b w:val="false"/>
            <w:i w:val="false"/>
            <w:color w:val="000000"/>
            <w:sz w:val="22"/>
          </w:rPr>
          <w:t>97B.44</w:t>
        </w:r>
      </w:hyperlink>
      <w:r>
        <w:rPr>
          <w:rFonts w:ascii="Times New Roman" w:hAnsi="Times New Roman"/>
          <w:b w:val="false"/>
          <w:i w:val="false"/>
          <w:color w:val="000000"/>
          <w:sz w:val="22"/>
        </w:rPr>
        <w:t xml:space="preserve"> and </w:t>
      </w:r>
      <w:hyperlink r:id="rId38">
        <w:r>
          <w:rPr>
            <w:rStyle w:val="Hyperlink"/>
            <w:rFonts w:ascii="Times New Roman" w:hAnsi="Times New Roman"/>
            <w:b w:val="false"/>
            <w:i w:val="false"/>
            <w:color w:val="000000"/>
            <w:sz w:val="22"/>
          </w:rPr>
          <w:t>97B.52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6215C</w:t>
      </w:r>
      <w:r>
        <w:rPr>
          <w:rFonts w:ascii="Times New Roman" w:hAnsi="Times New Roman"/>
          <w:b w:val="false"/>
          <w:i w:val="false"/>
          <w:color w:val="000000"/>
          <w:sz w:val="16"/>
        </w:rPr>
        <w:t>, IAB 2/23/22, effective 3/30/22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39">
        <w:r>
          <w:rPr>
            <w:rStyle w:val="Hyperlink"/>
            <w:rFonts w:ascii="Times New Roman" w:hAnsi="Times New Roman"/>
            <w:b w:val="false"/>
            <w:i w:val="false"/>
            <w:color w:val="000000"/>
            <w:sz w:val="22"/>
          </w:rPr>
          <w:t>97B.1A(8)</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97B.1A(18)</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97B.1A(19)</w:t>
        </w:r>
      </w:hyperlink>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97B.34</w:t>
        </w:r>
      </w:hyperlink>
      <w:r>
        <w:rPr>
          <w:rFonts w:ascii="Times New Roman" w:hAnsi="Times New Roman"/>
          <w:b w:val="false"/>
          <w:i w:val="false"/>
          <w:color w:val="000000"/>
          <w:sz w:val="22"/>
        </w:rPr>
        <w:t xml:space="preserve">, </w:t>
      </w:r>
      <w:hyperlink r:id="rId43">
        <w:r>
          <w:rPr>
            <w:rStyle w:val="Hyperlink"/>
            <w:rFonts w:ascii="Times New Roman" w:hAnsi="Times New Roman"/>
            <w:b w:val="false"/>
            <w:i w:val="false"/>
            <w:color w:val="000000"/>
            <w:sz w:val="22"/>
          </w:rPr>
          <w:t>97B.34A</w:t>
        </w:r>
      </w:hyperlink>
      <w:r>
        <w:rPr>
          <w:rFonts w:ascii="Times New Roman" w:hAnsi="Times New Roman"/>
          <w:b w:val="false"/>
          <w:i w:val="false"/>
          <w:color w:val="000000"/>
          <w:sz w:val="22"/>
        </w:rPr>
        <w:t xml:space="preserve">, </w:t>
      </w:r>
      <w:hyperlink r:id="rId44">
        <w:r>
          <w:rPr>
            <w:rStyle w:val="Hyperlink"/>
            <w:rFonts w:ascii="Times New Roman" w:hAnsi="Times New Roman"/>
            <w:b w:val="false"/>
            <w:i w:val="false"/>
            <w:color w:val="000000"/>
            <w:sz w:val="22"/>
          </w:rPr>
          <w:t>97B.44</w:t>
        </w:r>
      </w:hyperlink>
      <w:r>
        <w:rPr>
          <w:rFonts w:ascii="Times New Roman" w:hAnsi="Times New Roman"/>
          <w:b w:val="false"/>
          <w:i w:val="false"/>
          <w:color w:val="000000"/>
          <w:sz w:val="22"/>
        </w:rPr>
        <w:t xml:space="preserve">, </w:t>
      </w:r>
      <w:hyperlink r:id="rId45">
        <w:r>
          <w:rPr>
            <w:rStyle w:val="Hyperlink"/>
            <w:rFonts w:ascii="Times New Roman" w:hAnsi="Times New Roman"/>
            <w:b w:val="false"/>
            <w:i w:val="false"/>
            <w:color w:val="000000"/>
            <w:sz w:val="22"/>
          </w:rPr>
          <w:t>97B.52</w:t>
        </w:r>
      </w:hyperlink>
      <w:r>
        <w:rPr>
          <w:rFonts w:ascii="Times New Roman" w:hAnsi="Times New Roman"/>
          <w:b w:val="false"/>
          <w:i w:val="false"/>
          <w:color w:val="000000"/>
          <w:sz w:val="22"/>
        </w:rPr>
        <w:t xml:space="preserve"> and </w:t>
      </w:r>
      <w:hyperlink r:id="rId46">
        <w:r>
          <w:rPr>
            <w:rStyle w:val="Hyperlink"/>
            <w:rFonts w:ascii="Times New Roman" w:hAnsi="Times New Roman"/>
            <w:b w:val="false"/>
            <w:i w:val="false"/>
            <w:color w:val="000000"/>
            <w:sz w:val="22"/>
          </w:rPr>
          <w:t>97B.53B</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2000 Iowa Acts, chapter 1077, section 75</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11/5/04, Notice 9/15/04—published 11/24/04, effective 12/29/04]</w:t>
      </w:r>
    </w:p>
    <w:p>
      <w:pPr>
        <w:spacing w:before="0" w:after="0"/>
        <w:ind w:left="120"/>
        <w:jc w:val="center"/>
      </w:pPr>
      <w:r>
        <w:rPr>
          <w:rFonts w:ascii="Times New Roman" w:hAnsi="Times New Roman"/>
          <w:b w:val="false"/>
          <w:i w:val="false"/>
          <w:color w:val="000000"/>
          <w:sz w:val="21"/>
        </w:rPr>
        <w:t>[Filed 4/7/06, Notice 3/1/06—published 4/26/06, effective 5/31/06]</w:t>
      </w:r>
    </w:p>
    <w:p>
      <w:pPr>
        <w:spacing w:before="0" w:after="0"/>
        <w:ind w:left="120"/>
        <w:jc w:val="center"/>
      </w:pPr>
      <w:r>
        <w:rPr>
          <w:rFonts w:ascii="Times New Roman" w:hAnsi="Times New Roman"/>
          <w:b w:val="false"/>
          <w:i w:val="false"/>
          <w:color w:val="000000"/>
          <w:sz w:val="21"/>
        </w:rPr>
        <w:t>[Filed 11/3/06, Notice 9/27/06—published 11/22/06, effective 12/27/06]</w:t>
      </w:r>
    </w:p>
    <w:p>
      <w:pPr>
        <w:spacing w:before="0" w:after="0"/>
        <w:ind w:left="120"/>
        <w:jc w:val="center"/>
      </w:pPr>
      <w:r>
        <w:rPr>
          <w:rFonts w:ascii="Times New Roman" w:hAnsi="Times New Roman"/>
          <w:b w:val="false"/>
          <w:i w:val="false"/>
          <w:color w:val="000000"/>
          <w:sz w:val="21"/>
        </w:rPr>
        <w:t>[Filed 5/3/07, Notice 3/28/07—published 5/23/07, effective 6/27/07]</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6/25/08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7/16/08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6/25/08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8/8/08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8/27/08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8/20/08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7/16/08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9/10/08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10/15/08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8601B</w:t>
      </w:r>
      <w:r>
        <w:rPr>
          <w:rFonts w:ascii="Times New Roman" w:hAnsi="Times New Roman"/>
          <w:b w:val="false"/>
          <w:i w:val="false"/>
          <w:color w:val="000000"/>
          <w:sz w:val="21"/>
        </w:rPr>
        <w:t xml:space="preserve"> (Notice ARC 8477B, IAB 1/13/10)</w:t>
      </w:r>
      <w:r>
        <w:rPr>
          <w:rFonts w:ascii="Times New Roman" w:hAnsi="Times New Roman"/>
          <w:b w:val="false"/>
          <w:i w:val="false"/>
          <w:color w:val="000000"/>
          <w:sz w:val="21"/>
        </w:rPr>
        <w:t>, IAB 3/10/10, effective 4/14/10]</w:t>
      </w:r>
    </w:p>
    <w:p>
      <w:pPr>
        <w:spacing w:before="0" w:after="0"/>
        <w:ind w:left="120"/>
        <w:jc w:val="center"/>
      </w:pPr>
      <w:r>
        <w:rPr>
          <w:rFonts w:ascii="Times New Roman" w:hAnsi="Times New Roman"/>
          <w:b w:val="false"/>
          <w:i w:val="false"/>
          <w:color w:val="000000"/>
          <w:sz w:val="21"/>
        </w:rPr>
        <w:t>[Filed Emergency ARC 8929B, IAB 7/14/10, effective 6/21/10]</w:t>
      </w:r>
    </w:p>
    <w:p>
      <w:pPr>
        <w:spacing w:before="0" w:after="0"/>
        <w:ind w:left="120"/>
        <w:jc w:val="center"/>
      </w:pPr>
      <w:r>
        <w:rPr>
          <w:rFonts w:ascii="Times New Roman" w:hAnsi="Times New Roman"/>
          <w:b w:val="false"/>
          <w:i w:val="false"/>
          <w:color w:val="000000"/>
          <w:sz w:val="21"/>
        </w:rPr>
        <w:t>[Filed ARC 9068B</w:t>
      </w:r>
      <w:r>
        <w:rPr>
          <w:rFonts w:ascii="Times New Roman" w:hAnsi="Times New Roman"/>
          <w:b w:val="false"/>
          <w:i w:val="false"/>
          <w:color w:val="000000"/>
          <w:sz w:val="21"/>
        </w:rPr>
        <w:t xml:space="preserve"> (Notice ARC 8928B, IAB 7/14/10)</w:t>
      </w:r>
      <w:r>
        <w:rPr>
          <w:rFonts w:ascii="Times New Roman" w:hAnsi="Times New Roman"/>
          <w:b w:val="false"/>
          <w:i w:val="false"/>
          <w:color w:val="000000"/>
          <w:sz w:val="21"/>
        </w:rPr>
        <w:t>, IAB 9/8/10, effective 10/13/10]</w:t>
      </w:r>
    </w:p>
    <w:p>
      <w:pPr>
        <w:spacing w:before="0" w:after="0"/>
        <w:ind w:left="120"/>
        <w:jc w:val="center"/>
      </w:pPr>
      <w:r>
        <w:rPr>
          <w:rFonts w:ascii="Times New Roman" w:hAnsi="Times New Roman"/>
          <w:b w:val="false"/>
          <w:i w:val="false"/>
          <w:color w:val="000000"/>
          <w:sz w:val="21"/>
        </w:rPr>
        <w:t>[Filed ARC 0017C</w:t>
      </w:r>
      <w:r>
        <w:rPr>
          <w:rFonts w:ascii="Times New Roman" w:hAnsi="Times New Roman"/>
          <w:b w:val="false"/>
          <w:i w:val="false"/>
          <w:color w:val="000000"/>
          <w:sz w:val="21"/>
        </w:rPr>
        <w:t xml:space="preserve"> (Notice ARC 9951B, IAB 12/28/11)</w:t>
      </w:r>
      <w:r>
        <w:rPr>
          <w:rFonts w:ascii="Times New Roman" w:hAnsi="Times New Roman"/>
          <w:b w:val="false"/>
          <w:i w:val="false"/>
          <w:color w:val="000000"/>
          <w:sz w:val="21"/>
        </w:rPr>
        <w:t>, IAB 2/22/12, effective 3/28/12]</w:t>
      </w:r>
    </w:p>
    <w:p>
      <w:pPr>
        <w:spacing w:before="0" w:after="0"/>
        <w:ind w:left="120"/>
        <w:jc w:val="center"/>
      </w:pPr>
      <w:r>
        <w:rPr>
          <w:rFonts w:ascii="Times New Roman" w:hAnsi="Times New Roman"/>
          <w:b w:val="false"/>
          <w:i w:val="false"/>
          <w:color w:val="000000"/>
          <w:sz w:val="21"/>
        </w:rPr>
        <w:t>[Filed ARC 1348C</w:t>
      </w:r>
      <w:r>
        <w:rPr>
          <w:rFonts w:ascii="Times New Roman" w:hAnsi="Times New Roman"/>
          <w:b w:val="false"/>
          <w:i w:val="false"/>
          <w:color w:val="000000"/>
          <w:sz w:val="21"/>
        </w:rPr>
        <w:t xml:space="preserve"> (Notice ARC 1256C, IAB 12/25/13)</w:t>
      </w:r>
      <w:r>
        <w:rPr>
          <w:rFonts w:ascii="Times New Roman" w:hAnsi="Times New Roman"/>
          <w:b w:val="false"/>
          <w:i w:val="false"/>
          <w:color w:val="000000"/>
          <w:sz w:val="21"/>
        </w:rPr>
        <w:t>, IAB 2/19/14, effective 3/26/14]</w:t>
      </w:r>
    </w:p>
    <w:p>
      <w:pPr>
        <w:spacing w:before="0" w:after="0"/>
        <w:ind w:left="120"/>
        <w:jc w:val="center"/>
      </w:pPr>
      <w:r>
        <w:rPr>
          <w:rFonts w:ascii="Times New Roman" w:hAnsi="Times New Roman"/>
          <w:b w:val="false"/>
          <w:i w:val="false"/>
          <w:color w:val="000000"/>
          <w:sz w:val="21"/>
        </w:rPr>
        <w:t>[Filed ARC 1887C</w:t>
      </w:r>
      <w:r>
        <w:rPr>
          <w:rFonts w:ascii="Times New Roman" w:hAnsi="Times New Roman"/>
          <w:b w:val="false"/>
          <w:i w:val="false"/>
          <w:color w:val="000000"/>
          <w:sz w:val="21"/>
        </w:rPr>
        <w:t xml:space="preserve"> (Notice ARC 1800C, IAB 12/24/14)</w:t>
      </w:r>
      <w:r>
        <w:rPr>
          <w:rFonts w:ascii="Times New Roman" w:hAnsi="Times New Roman"/>
          <w:b w:val="false"/>
          <w:i w:val="false"/>
          <w:color w:val="000000"/>
          <w:sz w:val="21"/>
        </w:rPr>
        <w:t>, IAB 2/18/15, effective 3/25/15]</w:t>
      </w:r>
    </w:p>
    <w:p>
      <w:pPr>
        <w:spacing w:before="0" w:after="0"/>
        <w:ind w:left="120"/>
        <w:jc w:val="center"/>
      </w:pPr>
      <w:r>
        <w:rPr>
          <w:rFonts w:ascii="Times New Roman" w:hAnsi="Times New Roman"/>
          <w:b w:val="false"/>
          <w:i w:val="false"/>
          <w:color w:val="000000"/>
          <w:sz w:val="21"/>
        </w:rPr>
        <w:t>[Filed ARC 2402C</w:t>
      </w:r>
      <w:r>
        <w:rPr>
          <w:rFonts w:ascii="Times New Roman" w:hAnsi="Times New Roman"/>
          <w:b w:val="false"/>
          <w:i w:val="false"/>
          <w:color w:val="000000"/>
          <w:sz w:val="21"/>
        </w:rPr>
        <w:t xml:space="preserve"> (Notice ARC 2331C, IAB 12/23/15)</w:t>
      </w:r>
      <w:r>
        <w:rPr>
          <w:rFonts w:ascii="Times New Roman" w:hAnsi="Times New Roman"/>
          <w:b w:val="false"/>
          <w:i w:val="false"/>
          <w:color w:val="000000"/>
          <w:sz w:val="21"/>
        </w:rPr>
        <w:t>, IAB 2/17/16, effective 3/23/16]</w:t>
      </w:r>
    </w:p>
    <w:p>
      <w:pPr>
        <w:spacing w:before="0" w:after="0"/>
        <w:ind w:left="120"/>
        <w:jc w:val="center"/>
      </w:pPr>
      <w:r>
        <w:rPr>
          <w:rFonts w:ascii="Times New Roman" w:hAnsi="Times New Roman"/>
          <w:b w:val="false"/>
          <w:i w:val="false"/>
          <w:color w:val="000000"/>
          <w:sz w:val="21"/>
        </w:rPr>
        <w:t>[Filed ARC 2981C</w:t>
      </w:r>
      <w:r>
        <w:rPr>
          <w:rFonts w:ascii="Times New Roman" w:hAnsi="Times New Roman"/>
          <w:b w:val="false"/>
          <w:i w:val="false"/>
          <w:color w:val="000000"/>
          <w:sz w:val="21"/>
        </w:rPr>
        <w:t xml:space="preserve"> (Notice ARC 2892C, IAB 1/18/17)</w:t>
      </w:r>
      <w:r>
        <w:rPr>
          <w:rFonts w:ascii="Times New Roman" w:hAnsi="Times New Roman"/>
          <w:b w:val="false"/>
          <w:i w:val="false"/>
          <w:color w:val="000000"/>
          <w:sz w:val="21"/>
        </w:rPr>
        <w:t>, IAB 3/15/17, effective 4/19/17]</w:t>
      </w:r>
    </w:p>
    <w:p>
      <w:pPr>
        <w:spacing w:before="0" w:after="0"/>
        <w:ind w:left="120"/>
        <w:jc w:val="center"/>
      </w:pPr>
      <w:r>
        <w:rPr>
          <w:rFonts w:ascii="Times New Roman" w:hAnsi="Times New Roman"/>
          <w:b w:val="false"/>
          <w:i w:val="false"/>
          <w:color w:val="000000"/>
          <w:sz w:val="21"/>
        </w:rPr>
        <w:t>[Filed ARC 4337C</w:t>
      </w:r>
      <w:r>
        <w:rPr>
          <w:rFonts w:ascii="Times New Roman" w:hAnsi="Times New Roman"/>
          <w:b w:val="false"/>
          <w:i w:val="false"/>
          <w:color w:val="000000"/>
          <w:sz w:val="21"/>
        </w:rPr>
        <w:t xml:space="preserve"> (Notice ARC 4238C, IAB 1/16/19)</w:t>
      </w:r>
      <w:r>
        <w:rPr>
          <w:rFonts w:ascii="Times New Roman" w:hAnsi="Times New Roman"/>
          <w:b w:val="false"/>
          <w:i w:val="false"/>
          <w:color w:val="000000"/>
          <w:sz w:val="21"/>
        </w:rPr>
        <w:t>, IAB 3/13/19, effective 4/17/19]</w:t>
      </w:r>
    </w:p>
    <w:p>
      <w:pPr>
        <w:spacing w:before="0" w:after="0"/>
        <w:ind w:left="120"/>
        <w:jc w:val="center"/>
      </w:pPr>
      <w:r>
        <w:rPr>
          <w:rFonts w:ascii="Times New Roman" w:hAnsi="Times New Roman"/>
          <w:b w:val="false"/>
          <w:i w:val="false"/>
          <w:color w:val="000000"/>
          <w:sz w:val="21"/>
        </w:rPr>
        <w:t>[Filed ARC 5027C</w:t>
      </w:r>
      <w:r>
        <w:rPr>
          <w:rFonts w:ascii="Times New Roman" w:hAnsi="Times New Roman"/>
          <w:b w:val="false"/>
          <w:i w:val="false"/>
          <w:color w:val="000000"/>
          <w:sz w:val="21"/>
        </w:rPr>
        <w:t xml:space="preserve"> (Notice ARC 4925C, IAB 2/12/20)</w:t>
      </w:r>
      <w:r>
        <w:rPr>
          <w:rFonts w:ascii="Times New Roman" w:hAnsi="Times New Roman"/>
          <w:b w:val="false"/>
          <w:i w:val="false"/>
          <w:color w:val="000000"/>
          <w:sz w:val="21"/>
        </w:rPr>
        <w:t>, IAB 4/8/20, effective 5/13/20]</w:t>
      </w:r>
    </w:p>
    <w:p>
      <w:pPr>
        <w:spacing w:before="0" w:after="0"/>
        <w:ind w:left="120"/>
        <w:jc w:val="center"/>
      </w:pPr>
      <w:r>
        <w:rPr>
          <w:rFonts w:ascii="Times New Roman" w:hAnsi="Times New Roman"/>
          <w:b w:val="false"/>
          <w:i w:val="false"/>
          <w:color w:val="000000"/>
          <w:sz w:val="21"/>
        </w:rPr>
        <w:t>[Filed ARC 5489C</w:t>
      </w:r>
      <w:r>
        <w:rPr>
          <w:rFonts w:ascii="Times New Roman" w:hAnsi="Times New Roman"/>
          <w:b w:val="false"/>
          <w:i w:val="false"/>
          <w:color w:val="000000"/>
          <w:sz w:val="21"/>
        </w:rPr>
        <w:t xml:space="preserve"> (Notice ARC 5359C, IAB 12/30/20)</w:t>
      </w:r>
      <w:r>
        <w:rPr>
          <w:rFonts w:ascii="Times New Roman" w:hAnsi="Times New Roman"/>
          <w:b w:val="false"/>
          <w:i w:val="false"/>
          <w:color w:val="000000"/>
          <w:sz w:val="21"/>
        </w:rPr>
        <w:t>, IAB 3/10/21, effective 4/14/21]</w:t>
      </w:r>
    </w:p>
    <w:p>
      <w:pPr>
        <w:spacing w:before="0" w:after="0"/>
        <w:ind w:left="120"/>
        <w:jc w:val="center"/>
      </w:pPr>
      <w:r>
        <w:rPr>
          <w:rFonts w:ascii="Times New Roman" w:hAnsi="Times New Roman"/>
          <w:b w:val="false"/>
          <w:i w:val="false"/>
          <w:color w:val="000000"/>
          <w:sz w:val="21"/>
        </w:rPr>
        <w:t>[Filed ARC 6215C</w:t>
      </w:r>
      <w:r>
        <w:rPr>
          <w:rFonts w:ascii="Times New Roman" w:hAnsi="Times New Roman"/>
          <w:b w:val="false"/>
          <w:i w:val="false"/>
          <w:color w:val="000000"/>
          <w:sz w:val="21"/>
        </w:rPr>
        <w:t xml:space="preserve"> (Notice ARC 6117C, IAB 12/29/21)</w:t>
      </w:r>
      <w:r>
        <w:rPr>
          <w:rFonts w:ascii="Times New Roman" w:hAnsi="Times New Roman"/>
          <w:b w:val="false"/>
          <w:i w:val="false"/>
          <w:color w:val="000000"/>
          <w:sz w:val="21"/>
        </w:rPr>
        <w:t>, IAB 2/23/22, effective 3/30/22]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7B.51.pdf" Type="http://schemas.openxmlformats.org/officeDocument/2006/relationships/hyperlink" Id="rId5"/>
    <Relationship TargetMode="External" Target="https://www.legis.iowa.gov/docs/ico/chapter/97B.52.pdf" Type="http://schemas.openxmlformats.org/officeDocument/2006/relationships/hyperlink" Id="rId6"/>
    <Relationship TargetMode="External" Target="https://www.legis.iowa.gov/docs/ico/chapter/97B.52.pdf" Type="http://schemas.openxmlformats.org/officeDocument/2006/relationships/hyperlink" Id="rId7"/>
    <Relationship TargetMode="External" Target="https://www.legis.iowa.gov/docs/ico/chapter/97B.52.pdf" Type="http://schemas.openxmlformats.org/officeDocument/2006/relationships/hyperlink" Id="rId8"/>
    <Relationship TargetMode="External" Target="https://www.legis.iowa.gov/docs/ico/chapter/97B.52.pdf" Type="http://schemas.openxmlformats.org/officeDocument/2006/relationships/hyperlink" Id="rId9"/>
    <Relationship TargetMode="External" Target="https://www.legis.iowa.gov/docs/ico/chapter/97B.44.pdf" Type="http://schemas.openxmlformats.org/officeDocument/2006/relationships/hyperlink" Id="rId10"/>
    <Relationship TargetMode="External" Target="https://www.legis.iowa.gov/docs/ico/chapter/633.pdf" Type="http://schemas.openxmlformats.org/officeDocument/2006/relationships/hyperlink" Id="rId11"/>
    <Relationship TargetMode="External" Target="https://www.legis.iowa.gov/docs/ico/chapter/635.pdf" Type="http://schemas.openxmlformats.org/officeDocument/2006/relationships/hyperlink" Id="rId12"/>
    <Relationship TargetMode="External" Target="https://www.legis.iowa.gov/docs/ico/chapter/633.523.pdf" Type="http://schemas.openxmlformats.org/officeDocument/2006/relationships/hyperlink" Id="rId13"/>
    <Relationship TargetMode="External" Target="https://www.legis.iowa.gov/docs/ico/chapter/633.535.pdf" Type="http://schemas.openxmlformats.org/officeDocument/2006/relationships/hyperlink" Id="rId14"/>
    <Relationship TargetMode="External" Target="https://www.legis.iowa.gov/docs/ico/chapter/97B.52.pdf" Type="http://schemas.openxmlformats.org/officeDocument/2006/relationships/hyperlink" Id="rId15"/>
    <Relationship TargetMode="External" Target="https://www.legis.iowa.gov/docs/ico/chapter/97B.52.pdf" Type="http://schemas.openxmlformats.org/officeDocument/2006/relationships/hyperlink" Id="rId16"/>
    <Relationship TargetMode="External" Target="https://www.legis.iowa.gov/docs/ico/chapter/97B.48A.pdf" Type="http://schemas.openxmlformats.org/officeDocument/2006/relationships/hyperlink" Id="rId17"/>
    <Relationship TargetMode="External" Target="https://www.legis.iowa.gov/docs/ico/chapter/97B.49A.pdf" Type="http://schemas.openxmlformats.org/officeDocument/2006/relationships/hyperlink" Id="rId18"/>
    <Relationship TargetMode="External" Target="https://www.legis.iowa.gov/docs/ico/chapter/97B.49B.pdf" Type="http://schemas.openxmlformats.org/officeDocument/2006/relationships/hyperlink" Id="rId19"/>
    <Relationship TargetMode="External" Target="https://www.legis.iowa.gov/docs/ico/chapter/97B.49C.pdf" Type="http://schemas.openxmlformats.org/officeDocument/2006/relationships/hyperlink" Id="rId20"/>
    <Relationship TargetMode="External" Target="https://www.legis.iowa.gov/docs/ico/chapter/97B.49D.pdf" Type="http://schemas.openxmlformats.org/officeDocument/2006/relationships/hyperlink" Id="rId21"/>
    <Relationship TargetMode="External" Target="https://www.legis.iowa.gov/docs/ico/chapter/97B.49G.pdf" Type="http://schemas.openxmlformats.org/officeDocument/2006/relationships/hyperlink" Id="rId22"/>
    <Relationship TargetMode="External" Target="https://www.legis.iowa.gov/docs/ico/chapter/97B.49A.pdf" Type="http://schemas.openxmlformats.org/officeDocument/2006/relationships/hyperlink" Id="rId23"/>
    <Relationship TargetMode="External" Target="https://www.legis.iowa.gov/docs/ico/chapter/97B.49B.pdf" Type="http://schemas.openxmlformats.org/officeDocument/2006/relationships/hyperlink" Id="rId24"/>
    <Relationship TargetMode="External" Target="https://www.legis.iowa.gov/docs/ico/chapter/97B.49C.pdf" Type="http://schemas.openxmlformats.org/officeDocument/2006/relationships/hyperlink" Id="rId25"/>
    <Relationship TargetMode="External" Target="https://www.legis.iowa.gov/docs/ico/chapter/97B.49D.pdf" Type="http://schemas.openxmlformats.org/officeDocument/2006/relationships/hyperlink" Id="rId26"/>
    <Relationship TargetMode="External" Target="https://www.legis.iowa.gov/docs/ico/chapter/97B.49G.pdf" Type="http://schemas.openxmlformats.org/officeDocument/2006/relationships/hyperlink" Id="rId27"/>
    <Relationship TargetMode="External" Target="https://www.legis.iowa.gov/docs/ico/chapter/97B.48.pdf" Type="http://schemas.openxmlformats.org/officeDocument/2006/relationships/hyperlink" Id="rId28"/>
    <Relationship TargetMode="External" Target="https://www.legis.iowa.gov/docs/ico/chapter/97B.52.pdf" Type="http://schemas.openxmlformats.org/officeDocument/2006/relationships/hyperlink" Id="rId29"/>
    <Relationship TargetMode="External" Target="https://www.legis.iowa.gov/docs/ico/chapter/97B.1A.pdf" Type="http://schemas.openxmlformats.org/officeDocument/2006/relationships/hyperlink" Id="rId30"/>
    <Relationship TargetMode="External" Target="https://www.legis.iowa.gov/docs/ico/chapter/97B.52.pdf" Type="http://schemas.openxmlformats.org/officeDocument/2006/relationships/hyperlink" Id="rId31"/>
    <Relationship TargetMode="External" Target="https://www.legis.iowa.gov/docs/ico/chapter/97B.1A.pdf" Type="http://schemas.openxmlformats.org/officeDocument/2006/relationships/hyperlink" Id="rId32"/>
    <Relationship TargetMode="External" Target="https://www.legis.iowa.gov/docs/ico/chapter/85.61.pdf" Type="http://schemas.openxmlformats.org/officeDocument/2006/relationships/hyperlink" Id="rId33"/>
    <Relationship TargetMode="External" Target="https://www.legis.iowa.gov/docs/ico/chapter/147A.1.pdf" Type="http://schemas.openxmlformats.org/officeDocument/2006/relationships/hyperlink" Id="rId34"/>
    <Relationship TargetMode="External" Target="https://www.legis.iowa.gov/docs/ico/chapter/100B.31.pdf" Type="http://schemas.openxmlformats.org/officeDocument/2006/relationships/hyperlink" Id="rId35"/>
    <Relationship TargetMode="External" Target="https://www.legis.iowa.gov/docs/ico/chapter/598.20B.pdf" Type="http://schemas.openxmlformats.org/officeDocument/2006/relationships/hyperlink" Id="rId36"/>
    <Relationship TargetMode="External" Target="https://www.legis.iowa.gov/docs/ico/chapter/97B.44.pdf" Type="http://schemas.openxmlformats.org/officeDocument/2006/relationships/hyperlink" Id="rId37"/>
    <Relationship TargetMode="External" Target="https://www.legis.iowa.gov/docs/ico/chapter/97B.52.pdf" Type="http://schemas.openxmlformats.org/officeDocument/2006/relationships/hyperlink" Id="rId38"/>
    <Relationship TargetMode="External" Target="https://www.legis.iowa.gov/docs/ico/chapter/97B.1A.pdf" Type="http://schemas.openxmlformats.org/officeDocument/2006/relationships/hyperlink" Id="rId39"/>
    <Relationship TargetMode="External" Target="https://www.legis.iowa.gov/docs/ico/chapter/97B.1A.pdf" Type="http://schemas.openxmlformats.org/officeDocument/2006/relationships/hyperlink" Id="rId40"/>
    <Relationship TargetMode="External" Target="https://www.legis.iowa.gov/docs/ico/chapter/97B.1A.pdf" Type="http://schemas.openxmlformats.org/officeDocument/2006/relationships/hyperlink" Id="rId41"/>
    <Relationship TargetMode="External" Target="https://www.legis.iowa.gov/docs/ico/chapter/97B.34.pdf" Type="http://schemas.openxmlformats.org/officeDocument/2006/relationships/hyperlink" Id="rId42"/>
    <Relationship TargetMode="External" Target="https://www.legis.iowa.gov/docs/ico/chapter/97B.34A.pdf" Type="http://schemas.openxmlformats.org/officeDocument/2006/relationships/hyperlink" Id="rId43"/>
    <Relationship TargetMode="External" Target="https://www.legis.iowa.gov/docs/ico/chapter/97B.44.pdf" Type="http://schemas.openxmlformats.org/officeDocument/2006/relationships/hyperlink" Id="rId44"/>
    <Relationship TargetMode="External" Target="https://www.legis.iowa.gov/docs/ico/chapter/97B.52.pdf" Type="http://schemas.openxmlformats.org/officeDocument/2006/relationships/hyperlink" Id="rId45"/>
    <Relationship TargetMode="External" Target="https://www.legis.iowa.gov/docs/ico/chapter/97B.53B.pdf" Type="http://schemas.openxmlformats.org/officeDocument/2006/relationships/hyperlink" Id="rId4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