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INTEREST ON ACCUMULATED CONTRIBUTIONS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495—10.1</w:t>
      </w:r>
      <w:r>
        <w:rPr>
          <w:rFonts w:ascii="Times New Roman" w:hAnsi="Times New Roman"/>
          <w:b/>
          <w:i w:val="false"/>
          <w:color w:val="000000"/>
          <w:sz w:val="22"/>
        </w:rPr>
        <w:t xml:space="preserve">(97B) </w:t>
      </w:r>
      <w:r>
        <w:rPr>
          <w:rFonts w:ascii="Times New Roman" w:hAnsi="Times New Roman"/>
          <w:b/>
          <w:i w:val="false"/>
          <w:color w:val="000000"/>
          <w:sz w:val="22"/>
        </w:rPr>
        <w:t xml:space="preserve">Interest on accumulated contributions of active and inactive members. </w:t>
      </w:r>
      <w:r>
        <w:rPr>
          <w:rFonts w:ascii="Times New Roman" w:hAnsi="Times New Roman"/>
          <w:b w:val="false"/>
          <w:i w:val="false"/>
          <w:color w:val="000000"/>
          <w:sz w:val="22"/>
        </w:rPr>
        <w:t>The term “interest” as used in this rule means a per annum interest rate at one percent above the interest rate on one-year certificates of deposit which shall be credited to the member’s contributions and the employer’s contributions to become part of the accumulated contributions. For purposes of this rule, the interest rate on one-year certificates of deposit shall be determined by IPERS based on the average rate for such certificates of deposit as of the first business day of each year as published in a publication, including Internet-based publications, of general acceptance in the business community. The per annum interest rate shall be credited on a quarterly basis by applying one quarter of the annual interest rate to the sum of the accumulated contributions as of the end of the previous calendar quarter. Interest shall be applied through the calendar quarter preceding the quarter in which any distribution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495—10.2</w:t>
      </w:r>
      <w:r>
        <w:rPr>
          <w:rFonts w:ascii="Times New Roman" w:hAnsi="Times New Roman"/>
          <w:b/>
          <w:i w:val="false"/>
          <w:color w:val="000000"/>
          <w:sz w:val="22"/>
        </w:rPr>
        <w:t xml:space="preserve">(97B) </w:t>
      </w:r>
      <w:r>
        <w:rPr>
          <w:rFonts w:ascii="Times New Roman" w:hAnsi="Times New Roman"/>
          <w:b/>
          <w:i w:val="false"/>
          <w:color w:val="000000"/>
          <w:sz w:val="22"/>
        </w:rPr>
        <w:t xml:space="preserve">Erroneous contributions. </w:t>
      </w:r>
      <w:r>
        <w:rPr>
          <w:rFonts w:ascii="Times New Roman" w:hAnsi="Times New Roman"/>
          <w:b w:val="false"/>
          <w:i w:val="false"/>
          <w:color w:val="000000"/>
          <w:sz w:val="22"/>
        </w:rPr>
        <w:t>Interest shall not be credited to a member’s account if the wages were reported in error.</w:t>
      </w:r>
    </w:p>
    <w:p>
      <w:pPr>
        <w:spacing w:before="210" w:after="0"/>
        <w:ind w:left="120"/>
        <w:jc w:val="both"/>
      </w:pPr>
      <w:r>
        <w:rPr>
          <w:rFonts w:ascii="Times New Roman" w:hAnsi="Times New Roman"/>
          <w:b/>
          <w:i w:val="false"/>
          <w:color w:val="000000"/>
          <w:sz w:val="22"/>
        </w:rPr>
        <w:t>495—10.3</w:t>
      </w:r>
      <w:r>
        <w:rPr>
          <w:rFonts w:ascii="Times New Roman" w:hAnsi="Times New Roman"/>
          <w:b/>
          <w:i w:val="false"/>
          <w:color w:val="000000"/>
          <w:sz w:val="22"/>
        </w:rPr>
        <w:t xml:space="preserve">(97B) </w:t>
      </w:r>
      <w:r>
        <w:rPr>
          <w:rFonts w:ascii="Times New Roman" w:hAnsi="Times New Roman"/>
          <w:b/>
          <w:i w:val="false"/>
          <w:color w:val="000000"/>
          <w:sz w:val="22"/>
        </w:rPr>
        <w:t xml:space="preserve">Interest on undistributed accumulated contributions after member’s death. </w:t>
      </w:r>
      <w:r>
        <w:rPr>
          <w:rFonts w:ascii="Times New Roman" w:hAnsi="Times New Roman"/>
          <w:b w:val="false"/>
          <w:i w:val="false"/>
          <w:color w:val="000000"/>
          <w:sz w:val="22"/>
        </w:rPr>
        <w:t xml:space="preserve">Interest shall continue to accrue on the undistributed accumulated contributions of a deceased member, based on the member’s vested status at date of death, and the interest crediting method described in </w:t>
      </w:r>
      <w:hyperlink r:id="rId5">
        <w:r>
          <w:rPr>
            <w:rStyle w:val="Hyperlink"/>
            <w:rFonts w:ascii="Times New Roman" w:hAnsi="Times New Roman"/>
            <w:b w:val="false"/>
            <w:i w:val="false"/>
            <w:color w:val="000000"/>
            <w:sz w:val="22"/>
          </w:rPr>
          <w:t>rule 10.1(97B)</w:t>
        </w:r>
      </w:hyperlink>
      <w:r>
        <w:rPr>
          <w:rFonts w:ascii="Times New Roman" w:hAnsi="Times New Roman"/>
          <w:b w:val="false"/>
          <w:i w:val="false"/>
          <w:color w:val="000000"/>
          <w:sz w:val="22"/>
        </w:rPr>
        <w:t xml:space="preserve">. No interest shall be credited to any postretirement death benefit payable with respect to that member’s account under Iowa Code chapter </w:t>
      </w:r>
      <w:hyperlink r:id="rId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If IPERS determines that a dispute among alleged heirs exists which delays the payment of death benefits on which interest would be payable, the amount of the death benefits shall be placed in a non-interest-bearing account.</w:t>
      </w:r>
    </w:p>
    <w:p>
      <w:pPr>
        <w:spacing w:before="210" w:after="0"/>
        <w:ind w:left="120"/>
        <w:jc w:val="both"/>
      </w:pPr>
      <w:r>
        <w:rPr>
          <w:rFonts w:ascii="Times New Roman" w:hAnsi="Times New Roman"/>
          <w:b/>
          <w:i w:val="false"/>
          <w:color w:val="000000"/>
          <w:sz w:val="22"/>
        </w:rPr>
        <w:t>495—10.4</w:t>
      </w:r>
      <w:r>
        <w:rPr>
          <w:rFonts w:ascii="Times New Roman" w:hAnsi="Times New Roman"/>
          <w:b/>
          <w:i w:val="false"/>
          <w:color w:val="000000"/>
          <w:sz w:val="22"/>
        </w:rPr>
        <w:t xml:space="preserve">(97B) </w:t>
      </w:r>
      <w:r>
        <w:rPr>
          <w:rFonts w:ascii="Times New Roman" w:hAnsi="Times New Roman"/>
          <w:b/>
          <w:i w:val="false"/>
          <w:color w:val="000000"/>
          <w:sz w:val="22"/>
        </w:rPr>
        <w:t xml:space="preserve">Interest on all undistributed accumulated contributions—effective January 1, 1998. </w:t>
      </w:r>
      <w:r>
        <w:rPr>
          <w:rFonts w:ascii="Times New Roman" w:hAnsi="Times New Roman"/>
          <w:b w:val="false"/>
          <w:i w:val="false"/>
          <w:color w:val="000000"/>
          <w:sz w:val="22"/>
        </w:rPr>
        <w:t xml:space="preserve">Rescinded </w:t>
      </w:r>
      <w:r>
        <w:rPr>
          <w:rFonts w:ascii="Times New Roman" w:hAnsi="Times New Roman"/>
          <w:b/>
          <w:i w:val="false"/>
          <w:color w:val="000000"/>
          <w:sz w:val="22"/>
        </w:rPr>
        <w:t>ARC 2981C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3/15/17</w:t>
      </w:r>
      <w:r>
        <w:rPr>
          <w:rFonts w:ascii="Times New Roman" w:hAnsi="Times New Roman"/>
          <w:b w:val="false"/>
          <w:i w:val="false"/>
          <w:color w:val="000000"/>
          <w:sz w:val="22"/>
        </w:rPr>
        <w:t xml:space="preserve">, effective 4/19/17.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97B.53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5.10.1.pdf" Type="http://schemas.openxmlformats.org/officeDocument/2006/relationships/hyperlink" Id="rId5"/>
    <Relationship TargetMode="External" Target="https://www.legis.iowa.gov/docs/ico/chapter/97B.pdf" Type="http://schemas.openxmlformats.org/officeDocument/2006/relationships/hyperlink" Id="rId6"/>
    <Relationship TargetMode="External" Target="https://www.legis.iowa.gov/docs/ico/chapter/97B.52.pdf" Type="http://schemas.openxmlformats.org/officeDocument/2006/relationships/hyperlink" Id="rId7"/>
    <Relationship TargetMode="External" Target="https://www.legis.iowa.gov/docs/ico/chapter/97B.53.pdf" Type="http://schemas.openxmlformats.org/officeDocument/2006/relationships/hyperlink" Id="rId8"/>
    <Relationship TargetMode="External" Target="https://www.legis.iowa.gov/docs/ico/chapter/97B.7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