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DEFINITIONS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9/24/30</w:t>
      </w:r>
    </w:p>
    <w:p>
      <w:pPr>
        <w:spacing w:before="0" w:after="0"/>
        <w:ind w:left="120"/>
        <w:jc w:val="both"/>
      </w:pPr>
      <w:r>
        <w:rPr>
          <w:rFonts w:ascii="Times New Roman" w:hAnsi="Times New Roman"/>
          <w:b/>
          <w:i w:val="false"/>
          <w:color w:val="000000"/>
          <w:sz w:val="22"/>
        </w:rPr>
        <w:t>493—7.1</w:t>
      </w:r>
      <w:r>
        <w:rPr>
          <w:rFonts w:ascii="Times New Roman" w:hAnsi="Times New Roman"/>
          <w:b/>
          <w:i w:val="false"/>
          <w:color w:val="000000"/>
          <w:sz w:val="22"/>
        </w:rPr>
        <w:t xml:space="preserve">(13B,815)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unless the context otherwise requires,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“Affidavit of financial status” </w:t>
      </w:r>
      <w:r>
        <w:rPr>
          <w:rFonts w:ascii="Times New Roman" w:hAnsi="Times New Roman"/>
          <w:b w:val="false"/>
          <w:i w:val="false"/>
          <w:color w:val="000000"/>
          <w:sz w:val="22"/>
        </w:rPr>
        <w:t>means a full written disclosure of all income, assets, liabilities, dependents, and other information required to determine if an applicant qualifies for legal assistance by an appointed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means a proceeding, other than an interlocutory appeal, application for discretionary review, or juvenile court petition on appeal, filed with the Iowa supreme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requesting legal assistance by an appointed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“Appointed attorney” </w:t>
      </w:r>
      <w:r>
        <w:rPr>
          <w:rFonts w:ascii="Times New Roman" w:hAnsi="Times New Roman"/>
          <w:b w:val="false"/>
          <w:i w:val="false"/>
          <w:color w:val="000000"/>
          <w:sz w:val="22"/>
        </w:rPr>
        <w:t>means an attorney appointed by the court to represent an indigent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“Assets” </w:t>
      </w:r>
      <w:r>
        <w:rPr>
          <w:rFonts w:ascii="Times New Roman" w:hAnsi="Times New Roman"/>
          <w:b w:val="false"/>
          <w:i w:val="false"/>
          <w:color w:val="000000"/>
          <w:sz w:val="22"/>
        </w:rPr>
        <w:t>means all resources or possessions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“Attorney” </w:t>
      </w:r>
      <w:r>
        <w:rPr>
          <w:rFonts w:ascii="Times New Roman" w:hAnsi="Times New Roman"/>
          <w:b w:val="false"/>
          <w:i w:val="false"/>
          <w:color w:val="000000"/>
          <w:sz w:val="22"/>
        </w:rPr>
        <w:t>means an individual licensed to practice law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“Attorney time” </w:t>
      </w:r>
      <w:r>
        <w:rPr>
          <w:rFonts w:ascii="Times New Roman" w:hAnsi="Times New Roman"/>
          <w:b w:val="false"/>
          <w:i w:val="false"/>
          <w:color w:val="000000"/>
          <w:sz w:val="22"/>
        </w:rPr>
        <w:t>means the total time the attorney appointed to a case spends on in-court time, out-of-court time, and travel time attributable to that specific case. Attorney time does not include time spent performing clerical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w:t>
      </w:r>
      <w:r>
        <w:rPr>
          <w:rFonts w:ascii="Times New Roman" w:hAnsi="Times New Roman"/>
          <w:b w:val="false"/>
          <w:i w:val="false"/>
          <w:color w:val="000000"/>
          <w:sz w:val="22"/>
        </w:rPr>
        <w:t>means all charges or allegations arising from the same transaction or occurrence or contained in the same trial information or indictment in a criminal proceeding or in the same petition in a civil or juvenile proceeding. A probation violation or contempt proceeding is a case separate from the case out of which the violation or contempt arose and separate from a criminal case alleging new criminal charges. Multiple probation revocation proceedings pending at the same time, involving the same client, and arising from the same transaction or occurrence are a single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“juvenile” </w:t>
      </w:r>
      <w:r>
        <w:rPr>
          <w:rFonts w:ascii="Times New Roman" w:hAnsi="Times New Roman"/>
          <w:b w:val="false"/>
          <w:i w:val="false"/>
          <w:color w:val="000000"/>
          <w:sz w:val="22"/>
        </w:rPr>
        <w:t xml:space="preserve">means the same as defined in Iowa Code chapter </w:t>
      </w:r>
      <w:hyperlink r:id="rId5">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 </w:t>
      </w:r>
      <w:r>
        <w:rPr>
          <w:rFonts w:ascii="Times New Roman" w:hAnsi="Times New Roman"/>
          <w:b w:val="false"/>
          <w:i w:val="false"/>
          <w:color w:val="000000"/>
          <w:sz w:val="22"/>
        </w:rPr>
        <w:t>means an application or request for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“Claimant” </w:t>
      </w:r>
      <w:r>
        <w:rPr>
          <w:rFonts w:ascii="Times New Roman" w:hAnsi="Times New Roman"/>
          <w:b w:val="false"/>
          <w:i w:val="false"/>
          <w:color w:val="000000"/>
          <w:sz w:val="22"/>
        </w:rPr>
        <w:t>means an appointed attorney or other person seeking reimbursement of costs or fees payable from the indigent defense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“Claims for other professional services” </w:t>
      </w:r>
      <w:r>
        <w:rPr>
          <w:rFonts w:ascii="Times New Roman" w:hAnsi="Times New Roman"/>
          <w:b w:val="false"/>
          <w:i w:val="false"/>
          <w:color w:val="000000"/>
          <w:sz w:val="22"/>
        </w:rPr>
        <w:t>means claims submitted by nonattorneys, including but not limited to investigators, experts, certified shorthand reporters, and persons conducting medical or psychological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means a written agreement between the state public defender and an attorney to provide legal services to an indigent person. The contract may be for the provision of legal services at either the trial court level or the appellate court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base” </w:t>
      </w:r>
      <w:r>
        <w:rPr>
          <w:rFonts w:ascii="Times New Roman" w:hAnsi="Times New Roman"/>
          <w:b w:val="false"/>
          <w:i w:val="false"/>
          <w:color w:val="000000"/>
          <w:sz w:val="22"/>
        </w:rPr>
        <w:t xml:space="preserve">means the amount of expenses in juvenile cases for which the county remains liable pursuant to Iowa Code section </w:t>
      </w:r>
      <w:hyperlink r:id="rId6">
        <w:r>
          <w:rPr>
            <w:rStyle w:val="Hyperlink"/>
            <w:rFonts w:ascii="Times New Roman" w:hAnsi="Times New Roman"/>
            <w:b w:val="false"/>
            <w:i w:val="false"/>
            <w:color w:val="000000"/>
            <w:sz w:val="22"/>
          </w:rPr>
          <w:t>232.141(2)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“Court-appointed attorney” </w:t>
      </w:r>
      <w:r>
        <w:rPr>
          <w:rFonts w:ascii="Times New Roman" w:hAnsi="Times New Roman"/>
          <w:b w:val="false"/>
          <w:i w:val="false"/>
          <w:color w:val="000000"/>
          <w:sz w:val="22"/>
        </w:rPr>
        <w:t>means an attorney appointed by the court to represent an indigent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“Expert witness”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“expert” </w:t>
      </w:r>
      <w:r>
        <w:rPr>
          <w:rFonts w:ascii="Times New Roman" w:hAnsi="Times New Roman"/>
          <w:b w:val="false"/>
          <w:i w:val="false"/>
          <w:color w:val="000000"/>
          <w:sz w:val="22"/>
        </w:rPr>
        <w:t>means a person who is retained to render an opinion regarding an issue relevant to a case, whether or not the person actually testifies in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“household” </w:t>
      </w:r>
      <w:r>
        <w:rPr>
          <w:rFonts w:ascii="Times New Roman" w:hAnsi="Times New Roman"/>
          <w:b w:val="false"/>
          <w:i w:val="false"/>
          <w:color w:val="000000"/>
          <w:sz w:val="22"/>
        </w:rPr>
        <w:t>means the applicant, applicant’s spouse, including a common-law spouse, and applicant’s children living in the same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“Fee limitations” </w:t>
      </w:r>
      <w:r>
        <w:rPr>
          <w:rFonts w:ascii="Times New Roman" w:hAnsi="Times New Roman"/>
          <w:b w:val="false"/>
          <w:i w:val="false"/>
          <w:color w:val="000000"/>
          <w:sz w:val="22"/>
        </w:rPr>
        <w:t xml:space="preserve">means the attorney fee limitations established by the state public defender for specific classes of cases as specified in rule </w:t>
      </w:r>
      <w:hyperlink r:id="rId7">
        <w:r>
          <w:rPr>
            <w:rStyle w:val="Hyperlink"/>
            <w:rFonts w:ascii="Times New Roman" w:hAnsi="Times New Roman"/>
            <w:b w:val="false"/>
            <w:i w:val="false"/>
            <w:color w:val="000000"/>
            <w:sz w:val="22"/>
          </w:rPr>
          <w:t>493—12.6</w:t>
        </w:r>
      </w:hyperlink>
      <w:r>
        <w:rPr>
          <w:rFonts w:ascii="Times New Roman" w:hAnsi="Times New Roman"/>
          <w:b w:val="false"/>
          <w:i w:val="false"/>
          <w:color w:val="000000"/>
          <w:sz w:val="22"/>
        </w:rPr>
        <w:t xml:space="preserve">(13B,815), together with out-of-pocket expenses approved by the state public defender, whether submitted by a public defender, by an appointed attorney pursuant to </w:t>
      </w:r>
      <w:hyperlink r:id="rId8">
        <w:r>
          <w:rPr>
            <w:rStyle w:val="Hyperlink"/>
            <w:rFonts w:ascii="Times New Roman" w:hAnsi="Times New Roman"/>
            <w:b w:val="false"/>
            <w:i w:val="false"/>
            <w:color w:val="000000"/>
            <w:sz w:val="22"/>
          </w:rPr>
          <w:t>493—Chapter 12</w:t>
        </w:r>
      </w:hyperlink>
      <w:r>
        <w:rPr>
          <w:rFonts w:ascii="Times New Roman" w:hAnsi="Times New Roman"/>
          <w:b w:val="false"/>
          <w:i w:val="false"/>
          <w:color w:val="000000"/>
          <w:sz w:val="22"/>
        </w:rPr>
        <w:t xml:space="preserve">, or by another professional pursuant to </w:t>
      </w:r>
      <w:hyperlink r:id="rId9">
        <w:r>
          <w:rPr>
            <w:rStyle w:val="Hyperlink"/>
            <w:rFonts w:ascii="Times New Roman" w:hAnsi="Times New Roman"/>
            <w:b w:val="false"/>
            <w:i w:val="false"/>
            <w:color w:val="000000"/>
            <w:sz w:val="22"/>
          </w:rPr>
          <w:t>493—Chapter 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means the consideration paid to an appointed attorney to represent an indigent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“Fiscal year” </w:t>
      </w:r>
      <w:r>
        <w:rPr>
          <w:rFonts w:ascii="Times New Roman" w:hAnsi="Times New Roman"/>
          <w:b w:val="false"/>
          <w:i w:val="false"/>
          <w:color w:val="000000"/>
          <w:sz w:val="22"/>
        </w:rPr>
        <w:t>means the 12-month period beginning July 1 and ending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“Governmental assistance program” </w:t>
      </w:r>
      <w:r>
        <w:rPr>
          <w:rFonts w:ascii="Times New Roman" w:hAnsi="Times New Roman"/>
          <w:b w:val="false"/>
          <w:i w:val="false"/>
          <w:color w:val="000000"/>
          <w:sz w:val="22"/>
        </w:rPr>
        <w:t>means any public assistance program from which a person is receiving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means any money received from any source, including but not limited to remuneration for labor, products or services; money received from governmental assistance programs; tax refunds; prize winnings; pensions; investments; and money received from any other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“In-court time” </w:t>
      </w:r>
      <w:r>
        <w:rPr>
          <w:rFonts w:ascii="Times New Roman" w:hAnsi="Times New Roman"/>
          <w:b w:val="false"/>
          <w:i w:val="false"/>
          <w:color w:val="000000"/>
          <w:sz w:val="22"/>
        </w:rPr>
        <w:t>means time spent by an appointed attorney engaged before a judge or jury, including but not limited to arraignments, bail hearings, pretrial conferences, pretrial motion hearings, evidentiary hearings, jury selection, trial, plea proceedings, posttrial hearings, and probation violation hearings. In-court time does not include time spent at foster care review board hearings, staffings, family drug court, or any other meetings with other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“Indigent” </w:t>
      </w:r>
      <w:r>
        <w:rPr>
          <w:rFonts w:ascii="Times New Roman" w:hAnsi="Times New Roman"/>
          <w:b w:val="false"/>
          <w:i w:val="false"/>
          <w:color w:val="000000"/>
          <w:sz w:val="22"/>
        </w:rPr>
        <w:t xml:space="preserve">means a person entitled to an appointed attorney pursuant to Iowa Code section </w:t>
      </w:r>
      <w:hyperlink r:id="rId10">
        <w:r>
          <w:rPr>
            <w:rStyle w:val="Hyperlink"/>
            <w:rFonts w:ascii="Times New Roman" w:hAnsi="Times New Roman"/>
            <w:b w:val="false"/>
            <w:i w:val="false"/>
            <w:color w:val="000000"/>
            <w:sz w:val="22"/>
          </w:rPr>
          <w:t>815.9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“Juvenile proceeding” </w:t>
      </w:r>
      <w:r>
        <w:rPr>
          <w:rFonts w:ascii="Times New Roman" w:hAnsi="Times New Roman"/>
          <w:b w:val="false"/>
          <w:i w:val="false"/>
          <w:color w:val="000000"/>
          <w:sz w:val="22"/>
        </w:rPr>
        <w:t>means a case in juvenile court wherein the attorney acts as guardian ad litem for the child in interest or provides legal counsel for the child, parent, guardian or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“Liabilities” </w:t>
      </w:r>
      <w:r>
        <w:rPr>
          <w:rFonts w:ascii="Times New Roman" w:hAnsi="Times New Roman"/>
          <w:b w:val="false"/>
          <w:i w:val="false"/>
          <w:color w:val="000000"/>
          <w:sz w:val="22"/>
        </w:rPr>
        <w:t>means all living, business or farming expenses and fixed debts.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public defender” </w:t>
      </w:r>
      <w:r>
        <w:rPr>
          <w:rFonts w:ascii="Times New Roman" w:hAnsi="Times New Roman"/>
          <w:b w:val="false"/>
          <w:i w:val="false"/>
          <w:color w:val="000000"/>
          <w:sz w:val="22"/>
        </w:rPr>
        <w:t xml:space="preserve">means an attorney in the trial division of the state public defender system who performs the duties outlined in Iowa Code section </w:t>
      </w:r>
      <w:hyperlink r:id="rId11">
        <w:r>
          <w:rPr>
            <w:rStyle w:val="Hyperlink"/>
            <w:rFonts w:ascii="Times New Roman" w:hAnsi="Times New Roman"/>
            <w:b w:val="false"/>
            <w:i w:val="false"/>
            <w:color w:val="000000"/>
            <w:sz w:val="22"/>
          </w:rPr>
          <w:t>13B.9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“Notice of action letter” </w:t>
      </w:r>
      <w:r>
        <w:rPr>
          <w:rFonts w:ascii="Times New Roman" w:hAnsi="Times New Roman"/>
          <w:b w:val="false"/>
          <w:i w:val="false"/>
          <w:color w:val="000000"/>
          <w:sz w:val="22"/>
        </w:rPr>
        <w:t>means a letter sent by the state public defender to notify the claimant that the claimant’s fees or expenses were reduced.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“Out-of-court time” </w:t>
      </w:r>
      <w:r>
        <w:rPr>
          <w:rFonts w:ascii="Times New Roman" w:hAnsi="Times New Roman"/>
          <w:b w:val="false"/>
          <w:i w:val="false"/>
          <w:color w:val="000000"/>
          <w:sz w:val="22"/>
        </w:rPr>
        <w:t>means time actually spent by the attorney appointed to the case in drafting documents, case preparation, depositions and other discovery, client or witness interviews, investigation, research, brief drafting, conferences or negotiations with opposing counsel or the court, reviewing records, and other productive case-related time that is not in-court time or travel time. Out-of-court time does not include clerical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“Paralegal time,” </w:t>
      </w:r>
      <w:r>
        <w:rPr>
          <w:rFonts w:ascii="Times New Roman" w:hAnsi="Times New Roman"/>
          <w:b w:val="false"/>
          <w:i w:val="false"/>
          <w:color w:val="000000"/>
          <w:sz w:val="22"/>
        </w:rPr>
        <w:t>which is payable from the indigent defense fund, means time spent in a Class A felony case at the trial court level in which only one attorney is appointed preparing pleadings and motions, reviewing transcripts, performing legal research, and interviewing witnesses and may include time spent in court assisting the appointed attorney. Paralegal time does not include typing, scheduling, answering the telephone, talking on the telephone except when interviewing witnesses, or other clerical activities or activities that duplicate work performed by the appointed attorney. Paralegal time is not payable in any other cases or in Class A felony cases in which two attorneys are appointed.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limited liability company, government or governmental subdivision or association, or any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“Poverty income guidelines” </w:t>
      </w:r>
      <w:r>
        <w:rPr>
          <w:rFonts w:ascii="Times New Roman" w:hAnsi="Times New Roman"/>
          <w:b w:val="false"/>
          <w:i w:val="false"/>
          <w:color w:val="000000"/>
          <w:sz w:val="22"/>
        </w:rPr>
        <w:t>means the annual poverty income guidelines established by the U.S. Department of Health and Human Services (DHHS).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“Returned fee claim letter” </w:t>
      </w:r>
      <w:r>
        <w:rPr>
          <w:rFonts w:ascii="Times New Roman" w:hAnsi="Times New Roman"/>
          <w:b w:val="false"/>
          <w:i w:val="false"/>
          <w:color w:val="000000"/>
          <w:sz w:val="22"/>
        </w:rPr>
        <w:t>means a letter in which the state public defender returns the claim and notifies the claimant as to the reason the claim was returned.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“Rules of criminal procedure” </w:t>
      </w:r>
      <w:r>
        <w:rPr>
          <w:rFonts w:ascii="Times New Roman" w:hAnsi="Times New Roman"/>
          <w:b w:val="false"/>
          <w:i w:val="false"/>
          <w:color w:val="000000"/>
          <w:sz w:val="22"/>
        </w:rPr>
        <w:t>means the rules prescribed by the supreme court that govern criminal actions and proceedings in all courts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public defender” </w:t>
      </w:r>
      <w:r>
        <w:rPr>
          <w:rFonts w:ascii="Times New Roman" w:hAnsi="Times New Roman"/>
          <w:b w:val="false"/>
          <w:i w:val="false"/>
          <w:color w:val="000000"/>
          <w:sz w:val="22"/>
        </w:rPr>
        <w:t xml:space="preserve">means the state public defender appointed pursuant to Iowa Code chapter </w:t>
      </w:r>
      <w:hyperlink r:id="rId12">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 xml:space="preserve"> and those other persons authorized to act on behalf of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public defender system” </w:t>
      </w:r>
      <w:r>
        <w:rPr>
          <w:rFonts w:ascii="Times New Roman" w:hAnsi="Times New Roman"/>
          <w:b w:val="false"/>
          <w:i w:val="false"/>
          <w:color w:val="000000"/>
          <w:sz w:val="22"/>
        </w:rPr>
        <w:t>means a system for providing defense services within the state by means of a centrally administered organization having a full-time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“Written,” </w:t>
      </w:r>
      <w:r>
        <w:rPr>
          <w:rFonts w:ascii="Times New Roman" w:hAnsi="Times New Roman"/>
          <w:b w:val="false"/>
          <w:i w:val="false"/>
          <w:color w:val="000000"/>
          <w:sz w:val="22"/>
        </w:rPr>
        <w:t>as used in these rules, may include electronically transmitted communication except where a statute or rule expressly requires an original signature, mailing or any other special form of delivery other than electronic transmission.</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3">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815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9506C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1/31/02, Notice 12/26/01—published 2/20/02, effective 4/1/02]</w:t>
      </w:r>
    </w:p>
    <w:p>
      <w:pPr>
        <w:spacing w:before="0" w:after="0"/>
        <w:ind w:left="120"/>
        <w:jc w:val="center"/>
      </w:pPr>
      <w:r>
        <w:rPr>
          <w:rFonts w:ascii="Times New Roman" w:hAnsi="Times New Roman"/>
          <w:b w:val="false"/>
          <w:i w:val="false"/>
          <w:color w:val="000000"/>
          <w:sz w:val="21"/>
        </w:rPr>
        <w:t>[Filed emergency 6/4/04—published 6/23/04, effective 7/1/04]</w:t>
      </w:r>
    </w:p>
    <w:p>
      <w:pPr>
        <w:spacing w:before="0" w:after="0"/>
        <w:ind w:left="120"/>
        <w:jc w:val="center"/>
      </w:pPr>
      <w:r>
        <w:rPr>
          <w:rFonts w:ascii="Times New Roman" w:hAnsi="Times New Roman"/>
          <w:b w:val="false"/>
          <w:i w:val="false"/>
          <w:color w:val="000000"/>
          <w:sz w:val="21"/>
        </w:rPr>
        <w:t>[Filed 11/3/04, Notice 6/23/04—published 11/24/04, effective 12/29/04]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5/25/05—published 6/22/05, effective 5/25/05]</w:t>
      </w:r>
    </w:p>
    <w:p>
      <w:pPr>
        <w:spacing w:before="0" w:after="0"/>
        <w:ind w:left="120"/>
        <w:jc w:val="center"/>
      </w:pPr>
      <w:r>
        <w:rPr>
          <w:rFonts w:ascii="Times New Roman" w:hAnsi="Times New Roman"/>
          <w:b w:val="false"/>
          <w:i w:val="false"/>
          <w:color w:val="000000"/>
          <w:sz w:val="21"/>
        </w:rPr>
        <w:t>[Filed 7/27/05, Notice 6/22/05—published 8/17/05, effective 10/15/05]</w:t>
      </w:r>
    </w:p>
    <w:p>
      <w:pPr>
        <w:spacing w:before="0" w:after="0"/>
        <w:ind w:left="120"/>
        <w:jc w:val="center"/>
      </w:pPr>
      <w:r>
        <w:rPr>
          <w:rFonts w:ascii="Times New Roman" w:hAnsi="Times New Roman"/>
          <w:b w:val="false"/>
          <w:i w:val="false"/>
          <w:color w:val="000000"/>
          <w:sz w:val="21"/>
        </w:rPr>
        <w:t>[Filed 1/13/06, Notice 10/26/05—published 2/1/06, effective 3/8/06]</w:t>
      </w:r>
    </w:p>
    <w:p>
      <w:pPr>
        <w:spacing w:before="0" w:after="0"/>
        <w:ind w:left="120"/>
        <w:jc w:val="center"/>
      </w:pPr>
      <w:r>
        <w:rPr>
          <w:rFonts w:ascii="Times New Roman" w:hAnsi="Times New Roman"/>
          <w:b w:val="false"/>
          <w:i w:val="false"/>
          <w:color w:val="000000"/>
          <w:sz w:val="21"/>
        </w:rPr>
        <w:t>[Filed emergency 5/23/06—published 6/21/06, effective 7/1/06]</w:t>
      </w:r>
    </w:p>
    <w:p>
      <w:pPr>
        <w:spacing w:before="0" w:after="0"/>
        <w:ind w:left="120"/>
        <w:jc w:val="center"/>
      </w:pPr>
      <w:r>
        <w:rPr>
          <w:rFonts w:ascii="Times New Roman" w:hAnsi="Times New Roman"/>
          <w:b w:val="false"/>
          <w:i w:val="false"/>
          <w:color w:val="000000"/>
          <w:sz w:val="21"/>
        </w:rPr>
        <w:t>[Filed 8/11/06, Notice 6/21/06—published 8/30/06, effective 10/4/06]</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4/3/08, Notice 2/27/08—published 4/23/08, effective 5/28/08]</w:t>
      </w:r>
    </w:p>
    <w:p>
      <w:pPr>
        <w:spacing w:before="0" w:after="0"/>
        <w:ind w:left="120"/>
        <w:jc w:val="center"/>
      </w:pPr>
      <w:r>
        <w:rPr>
          <w:rFonts w:ascii="Times New Roman" w:hAnsi="Times New Roman"/>
          <w:b w:val="false"/>
          <w:i w:val="false"/>
          <w:color w:val="000000"/>
          <w:sz w:val="21"/>
        </w:rPr>
        <w:t>[Filed Emergency ARC 9293B, IAB 12/29/10, effective 12/7/10]</w:t>
      </w:r>
    </w:p>
    <w:p>
      <w:pPr>
        <w:spacing w:before="0" w:after="0"/>
        <w:ind w:left="120"/>
        <w:jc w:val="center"/>
      </w:pPr>
      <w:r>
        <w:rPr>
          <w:rFonts w:ascii="Times New Roman" w:hAnsi="Times New Roman"/>
          <w:b w:val="false"/>
          <w:i w:val="false"/>
          <w:color w:val="000000"/>
          <w:sz w:val="21"/>
        </w:rPr>
        <w:t>[Filed ARC 9447B</w:t>
      </w:r>
      <w:r>
        <w:rPr>
          <w:rFonts w:ascii="Times New Roman" w:hAnsi="Times New Roman"/>
          <w:b w:val="false"/>
          <w:i w:val="false"/>
          <w:color w:val="000000"/>
          <w:sz w:val="21"/>
        </w:rPr>
        <w:t xml:space="preserve"> (Notice ARC 9294B, IAB 12/29/10)</w:t>
      </w:r>
      <w:r>
        <w:rPr>
          <w:rFonts w:ascii="Times New Roman" w:hAnsi="Times New Roman"/>
          <w:b w:val="false"/>
          <w:i w:val="false"/>
          <w:color w:val="000000"/>
          <w:sz w:val="21"/>
        </w:rPr>
        <w:t>, IAB 4/6/11, effective 5/11/11]</w:t>
      </w:r>
    </w:p>
    <w:p>
      <w:pPr>
        <w:spacing w:before="0" w:after="0"/>
        <w:ind w:left="120"/>
        <w:jc w:val="center"/>
      </w:pPr>
      <w:r>
        <w:rPr>
          <w:rFonts w:ascii="Times New Roman" w:hAnsi="Times New Roman"/>
          <w:b w:val="false"/>
          <w:i w:val="false"/>
          <w:color w:val="000000"/>
          <w:sz w:val="21"/>
        </w:rPr>
        <w:t>[Filed ARC 1512C</w:t>
      </w:r>
      <w:r>
        <w:rPr>
          <w:rFonts w:ascii="Times New Roman" w:hAnsi="Times New Roman"/>
          <w:b w:val="false"/>
          <w:i w:val="false"/>
          <w:color w:val="000000"/>
          <w:sz w:val="21"/>
        </w:rPr>
        <w:t xml:space="preserve"> (Notice ARC 1437C, IAB 4/30/14)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4872C</w:t>
      </w:r>
      <w:r>
        <w:rPr>
          <w:rFonts w:ascii="Times New Roman" w:hAnsi="Times New Roman"/>
          <w:b w:val="false"/>
          <w:i w:val="false"/>
          <w:color w:val="000000"/>
          <w:sz w:val="21"/>
        </w:rPr>
        <w:t xml:space="preserve"> (Notice ARC 4778C, IAB 11/20/19)</w:t>
      </w:r>
      <w:r>
        <w:rPr>
          <w:rFonts w:ascii="Times New Roman" w:hAnsi="Times New Roman"/>
          <w:b w:val="false"/>
          <w:i w:val="false"/>
          <w:color w:val="000000"/>
          <w:sz w:val="21"/>
        </w:rPr>
        <w:t>, IAB 1/15/20, effective 3/1/20]</w:t>
      </w:r>
    </w:p>
    <w:p>
      <w:pPr>
        <w:spacing w:before="0" w:after="0"/>
        <w:ind w:left="120"/>
        <w:jc w:val="center"/>
      </w:pPr>
      <w:r>
        <w:rPr>
          <w:rFonts w:ascii="Times New Roman" w:hAnsi="Times New Roman"/>
          <w:b w:val="false"/>
          <w:i w:val="false"/>
          <w:color w:val="000000"/>
          <w:sz w:val="21"/>
        </w:rPr>
        <w:t>[Filed ARC 9506C</w:t>
      </w:r>
      <w:r>
        <w:rPr>
          <w:rFonts w:ascii="Times New Roman" w:hAnsi="Times New Roman"/>
          <w:b w:val="false"/>
          <w:i w:val="false"/>
          <w:color w:val="000000"/>
          <w:sz w:val="21"/>
        </w:rPr>
        <w:t xml:space="preserve"> (Notice ARC 9364C, IAB 6/25/25)</w:t>
      </w:r>
      <w:r>
        <w:rPr>
          <w:rFonts w:ascii="Times New Roman" w:hAnsi="Times New Roman"/>
          <w:b w:val="false"/>
          <w:i w:val="false"/>
          <w:color w:val="000000"/>
          <w:sz w:val="21"/>
        </w:rPr>
        <w:t>, IAB 8/20/25, effective 9/24/25]</w:t>
      </w:r>
    </w:p>
    <w:p>
      <w:pPr>
        <w:pBdr>
          <w:bottom w:space="2"/>
        </w:pBdr>
        <w:spacing w:before="0" w:after="0"/>
        <w:ind w:left="120"/>
        <w:jc w:val="both"/>
      </w:pPr>
      <w:r>
        <w:rPr>
          <w:rFonts w:ascii="Times New Roman" w:hAnsi="Times New Roman"/>
          <w:b w:val="false"/>
          <w:i w:val="false"/>
          <w:color w:val="000000"/>
          <w:sz w:val="22"/>
        </w:rPr>
        <w:t>12/29/04 effective date delayed 70 days by the Administrative Rules Review Committee at its meeting held 12/14/04.</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pdf" Type="http://schemas.openxmlformats.org/officeDocument/2006/relationships/hyperlink" Id="rId5"/>
    <Relationship TargetMode="External" Target="https://www.legis.iowa.gov/docs/ico/chapter/232.141.pdf" Type="http://schemas.openxmlformats.org/officeDocument/2006/relationships/hyperlink" Id="rId6"/>
    <Relationship TargetMode="External" Target="https://www.legis.iowa.gov/docs/iac/rule/493.12.6.pdf" Type="http://schemas.openxmlformats.org/officeDocument/2006/relationships/hyperlink" Id="rId7"/>
    <Relationship TargetMode="External" Target="https://www.legis.iowa.gov/docs/iac/chapter/493.12.pdf" Type="http://schemas.openxmlformats.org/officeDocument/2006/relationships/hyperlink" Id="rId8"/>
    <Relationship TargetMode="External" Target="https://www.legis.iowa.gov/docs/iac/chapter/493.13.pdf" Type="http://schemas.openxmlformats.org/officeDocument/2006/relationships/hyperlink" Id="rId9"/>
    <Relationship TargetMode="External" Target="https://www.legis.iowa.gov/docs/ico/chapter/815.9.pdf" Type="http://schemas.openxmlformats.org/officeDocument/2006/relationships/hyperlink" Id="rId10"/>
    <Relationship TargetMode="External" Target="https://www.legis.iowa.gov/docs/ico/chapter/13B.9.pdf" Type="http://schemas.openxmlformats.org/officeDocument/2006/relationships/hyperlink" Id="rId11"/>
    <Relationship TargetMode="External" Target="https://www.legis.iowa.gov/docs/ico/chapter/13B.pdf" Type="http://schemas.openxmlformats.org/officeDocument/2006/relationships/hyperlink" Id="rId12"/>
    <Relationship TargetMode="External" Target="https://www.legis.iowa.gov/docs/ico/chapter/13B.pdf" Type="http://schemas.openxmlformats.org/officeDocument/2006/relationships/hyperlink" Id="rId13"/>
    <Relationship TargetMode="External" Target="https://www.legis.iowa.gov/docs/ico/chapter/815.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