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14</w:t>
      </w:r>
    </w:p>
    <w:p>
      <w:pPr>
        <w:spacing w:before="0" w:after="0"/>
        <w:ind w:left="120"/>
        <w:jc w:val="center"/>
      </w:pPr>
      <w:r>
        <w:rPr>
          <w:rFonts w:ascii="Times New Roman" w:hAnsi="Times New Roman"/>
          <w:b w:val="false"/>
          <w:i w:val="false"/>
          <w:color w:val="000000"/>
          <w:sz w:val="21"/>
        </w:rPr>
        <w:t>CLAIMS FOR ATTORNEY FEES IN 600A TERMINATIONS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9/24/30</w:t>
      </w:r>
    </w:p>
    <w:p>
      <w:pPr>
        <w:spacing w:before="0" w:after="0"/>
        <w:ind w:left="120"/>
        <w:jc w:val="both"/>
      </w:pPr>
      <w:r>
        <w:rPr>
          <w:rFonts w:ascii="Times New Roman" w:hAnsi="Times New Roman"/>
          <w:b/>
          <w:i w:val="false"/>
          <w:color w:val="000000"/>
          <w:sz w:val="22"/>
        </w:rPr>
        <w:t>493—14.1</w:t>
      </w:r>
      <w:r>
        <w:rPr>
          <w:rFonts w:ascii="Times New Roman" w:hAnsi="Times New Roman"/>
          <w:b/>
          <w:i w:val="false"/>
          <w:color w:val="000000"/>
          <w:sz w:val="22"/>
        </w:rPr>
        <w:t xml:space="preserve">(13B,600A,815)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This chapter sets forth specific rules for submission, review and payment of claims for attorney fees in proceedings under Iowa Code chapter </w:t>
      </w:r>
      <w:hyperlink r:id="rId5">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 xml:space="preserve">. Unless modified in this chapter, the provisions of 493—Chapters </w:t>
      </w:r>
      <w:hyperlink r:id="rId6">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12</w:t>
        </w:r>
      </w:hyperlink>
      <w:r>
        <w:rPr>
          <w:rFonts w:ascii="Times New Roman" w:hAnsi="Times New Roman"/>
          <w:b w:val="false"/>
          <w:i w:val="false"/>
          <w:color w:val="000000"/>
          <w:sz w:val="22"/>
        </w:rPr>
        <w:t xml:space="preserve"> apply to such claims.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9511C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493—14.2</w:t>
      </w:r>
      <w:r>
        <w:rPr>
          <w:rFonts w:ascii="Times New Roman" w:hAnsi="Times New Roman"/>
          <w:b/>
          <w:i w:val="false"/>
          <w:color w:val="000000"/>
          <w:sz w:val="22"/>
        </w:rPr>
        <w:t xml:space="preserve">(13B,600A,815) </w:t>
      </w:r>
      <w:r>
        <w:rPr>
          <w:rFonts w:ascii="Times New Roman" w:hAnsi="Times New Roman"/>
          <w:b/>
          <w:i w:val="false"/>
          <w:color w:val="000000"/>
          <w:sz w:val="22"/>
        </w:rPr>
        <w:t xml:space="preserve">Definition. </w:t>
      </w:r>
      <w:r>
        <w:rPr>
          <w:rFonts w:ascii="Times New Roman" w:hAnsi="Times New Roman"/>
          <w:b w:val="false"/>
          <w:i w:val="false"/>
          <w:color w:val="000000"/>
          <w:sz w:val="22"/>
        </w:rPr>
        <w:t>The following definition applies only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“Indigent”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600A.2(12)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9511C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493—14.3</w:t>
      </w:r>
      <w:r>
        <w:rPr>
          <w:rFonts w:ascii="Times New Roman" w:hAnsi="Times New Roman"/>
          <w:b/>
          <w:i w:val="false"/>
          <w:color w:val="000000"/>
          <w:sz w:val="22"/>
        </w:rPr>
        <w:t xml:space="preserve">(13B,600A,815) </w:t>
      </w:r>
      <w:r>
        <w:rPr>
          <w:rFonts w:ascii="Times New Roman" w:hAnsi="Times New Roman"/>
          <w:b/>
          <w:i w:val="false"/>
          <w:color w:val="000000"/>
          <w:sz w:val="22"/>
        </w:rPr>
        <w:t xml:space="preserve">Hourly rate and fee limitations. </w:t>
      </w:r>
      <w:r>
        <w:rPr>
          <w:rFonts w:ascii="Times New Roman" w:hAnsi="Times New Roman"/>
          <w:b w:val="false"/>
          <w:i w:val="false"/>
          <w:color w:val="000000"/>
          <w:sz w:val="22"/>
        </w:rPr>
        <w:t xml:space="preserve">Unless the attorney has a contract with the state public defender that provides for a different rate or manner of payment, claims for attorney fees in a termination of parental rights case under Iowa Code chapter </w:t>
      </w:r>
      <w:hyperlink r:id="rId10">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 xml:space="preserve"> shall be paid the hourly rate consistent with Iowa Code section </w:t>
      </w:r>
      <w:hyperlink r:id="rId11">
        <w:r>
          <w:rPr>
            <w:rStyle w:val="Hyperlink"/>
            <w:rFonts w:ascii="Times New Roman" w:hAnsi="Times New Roman"/>
            <w:b w:val="false"/>
            <w:i w:val="false"/>
            <w:color w:val="000000"/>
            <w:sz w:val="22"/>
          </w:rPr>
          <w:t>815.7</w:t>
        </w:r>
      </w:hyperlink>
      <w:r>
        <w:rPr>
          <w:rFonts w:ascii="Times New Roman" w:hAnsi="Times New Roman"/>
          <w:b w:val="false"/>
          <w:i w:val="false"/>
          <w:color w:val="000000"/>
          <w:sz w:val="22"/>
        </w:rPr>
        <w:t xml:space="preserve"> for all other cases. The fee limitation is ten hours for the trial court proceedings and ten hours for appellate proceedings.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9511C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493—14.4</w:t>
      </w:r>
      <w:r>
        <w:rPr>
          <w:rFonts w:ascii="Times New Roman" w:hAnsi="Times New Roman"/>
          <w:b/>
          <w:i w:val="false"/>
          <w:color w:val="000000"/>
          <w:sz w:val="22"/>
        </w:rPr>
        <w:t xml:space="preserve">(13B,600A,815) </w:t>
      </w:r>
      <w:r>
        <w:rPr>
          <w:rFonts w:ascii="Times New Roman" w:hAnsi="Times New Roman"/>
          <w:b/>
          <w:i w:val="false"/>
          <w:color w:val="000000"/>
          <w:sz w:val="22"/>
        </w:rPr>
        <w:t xml:space="preserve">Limitations on other charges and expenses. </w:t>
      </w:r>
      <w:r>
        <w:rPr>
          <w:rFonts w:ascii="Times New Roman" w:hAnsi="Times New Roman"/>
          <w:b w:val="false"/>
          <w:i w:val="false"/>
          <w:color w:val="000000"/>
          <w:sz w:val="22"/>
        </w:rPr>
        <w:t>For appeals, the state public defender shall approve claims for the actual cost of a transcript and printing of necessary briefs. The state public defender shall not approve claims for travel time, paralegal time, or other out-of-pocket expenses at the trial or appellate level.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9511C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493—14.5</w:t>
      </w:r>
      <w:r>
        <w:rPr>
          <w:rFonts w:ascii="Times New Roman" w:hAnsi="Times New Roman"/>
          <w:b/>
          <w:i w:val="false"/>
          <w:color w:val="000000"/>
          <w:sz w:val="22"/>
        </w:rPr>
        <w:t xml:space="preserve">(13B,600A,815) </w:t>
      </w:r>
      <w:r>
        <w:rPr>
          <w:rFonts w:ascii="Times New Roman" w:hAnsi="Times New Roman"/>
          <w:b/>
          <w:i w:val="false"/>
          <w:color w:val="000000"/>
          <w:sz w:val="22"/>
        </w:rPr>
        <w:t xml:space="preserve">Claims for attorney fees. </w:t>
      </w:r>
      <w:r>
        <w:rPr>
          <w:rFonts w:ascii="Times New Roman" w:hAnsi="Times New Roman"/>
          <w:b w:val="false"/>
          <w:i w:val="false"/>
          <w:color w:val="000000"/>
          <w:sz w:val="22"/>
        </w:rPr>
        <w:t xml:space="preserve">Except as provided in this chapter, claims for attorney fees for representing the respondent in proceedings for termination of parental rights cases under Iowa Code chapter </w:t>
      </w:r>
      <w:hyperlink r:id="rId12">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 xml:space="preserve"> shall be reviewed by the state public defender in the same manner as provided in </w:t>
      </w:r>
      <w:hyperlink r:id="rId13">
        <w:r>
          <w:rPr>
            <w:rStyle w:val="Hyperlink"/>
            <w:rFonts w:ascii="Times New Roman" w:hAnsi="Times New Roman"/>
            <w:b w:val="false"/>
            <w:i w:val="false"/>
            <w:color w:val="000000"/>
            <w:sz w:val="22"/>
          </w:rPr>
          <w:t>493—Chapter 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14.5(1)</w:t>
      </w:r>
      <w:r>
        <w:rPr>
          <w:rFonts w:ascii="Times New Roman" w:hAnsi="Times New Roman"/>
          <w:b w:val="false"/>
          <w:i w:val="false"/>
          <w:color w:val="000000"/>
          <w:sz w:val="22"/>
        </w:rPr>
        <w:t> </w:t>
      </w:r>
      <w:r>
        <w:rPr>
          <w:rFonts w:ascii="Times New Roman" w:hAnsi="Times New Roman"/>
          <w:b w:val="false"/>
          <w:i w:val="false"/>
          <w:color w:val="000000"/>
          <w:sz w:val="22"/>
        </w:rPr>
        <w:t>Claim forms. Claims for services provided at the trial level shall be submitted on a Juvenile claim form. Claims for services provided on appeal shall be submitted on an Appellate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14.5(2)</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documents. In addition to satisfying the other requirements provided in </w:t>
      </w:r>
      <w:hyperlink r:id="rId14">
        <w:r>
          <w:rPr>
            <w:rStyle w:val="Hyperlink"/>
            <w:rFonts w:ascii="Times New Roman" w:hAnsi="Times New Roman"/>
            <w:b w:val="false"/>
            <w:i w:val="false"/>
            <w:color w:val="000000"/>
            <w:sz w:val="22"/>
          </w:rPr>
          <w:t>493—Chapter 12</w:t>
        </w:r>
      </w:hyperlink>
      <w:r>
        <w:rPr>
          <w:rFonts w:ascii="Times New Roman" w:hAnsi="Times New Roman"/>
          <w:b w:val="false"/>
          <w:i w:val="false"/>
          <w:color w:val="000000"/>
          <w:sz w:val="22"/>
        </w:rPr>
        <w:t>, the attorney shall submit a copy of both the petitioner’s and respondent’s financial affidavit and any order of the juvenile court determining that the state public defender rather than the petitioner is responsible for payment of the respondent’s attorney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for review of the state public defender’s action provided in </w:t>
      </w:r>
      <w:hyperlink r:id="rId15">
        <w:r>
          <w:rPr>
            <w:rStyle w:val="Hyperlink"/>
            <w:rFonts w:ascii="Times New Roman" w:hAnsi="Times New Roman"/>
            <w:b w:val="false"/>
            <w:i w:val="false"/>
            <w:color w:val="000000"/>
            <w:sz w:val="22"/>
          </w:rPr>
          <w:t>493—Chapter 12</w:t>
        </w:r>
      </w:hyperlink>
      <w:r>
        <w:rPr>
          <w:rFonts w:ascii="Times New Roman" w:hAnsi="Times New Roman"/>
          <w:b w:val="false"/>
          <w:i w:val="false"/>
          <w:color w:val="000000"/>
          <w:sz w:val="22"/>
        </w:rPr>
        <w:t xml:space="preserve"> shall apply to claims submitted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14.5(4)</w:t>
      </w:r>
      <w:r>
        <w:rPr>
          <w:rFonts w:ascii="Times New Roman" w:hAnsi="Times New Roman"/>
          <w:b w:val="false"/>
          <w:i w:val="false"/>
          <w:color w:val="000000"/>
          <w:sz w:val="22"/>
        </w:rPr>
        <w:t> </w:t>
      </w:r>
      <w:r>
        <w:rPr>
          <w:rFonts w:ascii="Times New Roman" w:hAnsi="Times New Roman"/>
          <w:b w:val="false"/>
          <w:i w:val="false"/>
          <w:color w:val="000000"/>
          <w:sz w:val="22"/>
        </w:rPr>
        <w:t>If the petitioner or prospective parent is responsible for payment of the indigent respondent’s attorney fees and expenses, the state public defender does not receive, review, or pay the fee claim. Any such claim submitted to the state public defender will be returned to the attorney who submitted the claim.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9511C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493—14.6</w:t>
      </w:r>
      <w:r>
        <w:rPr>
          <w:rFonts w:ascii="Times New Roman" w:hAnsi="Times New Roman"/>
          <w:b/>
          <w:i w:val="false"/>
          <w:color w:val="000000"/>
          <w:sz w:val="22"/>
        </w:rPr>
        <w:t xml:space="preserve">(13B,600A,815) </w:t>
      </w:r>
      <w:r>
        <w:rPr>
          <w:rFonts w:ascii="Times New Roman" w:hAnsi="Times New Roman"/>
          <w:b/>
          <w:i w:val="false"/>
          <w:color w:val="000000"/>
          <w:sz w:val="22"/>
        </w:rPr>
        <w:t xml:space="preserve">Report to judicial branch. </w:t>
      </w:r>
      <w:r>
        <w:rPr>
          <w:rFonts w:ascii="Times New Roman" w:hAnsi="Times New Roman"/>
          <w:b w:val="false"/>
          <w:i w:val="false"/>
          <w:color w:val="000000"/>
          <w:sz w:val="22"/>
        </w:rPr>
        <w:t xml:space="preserve">The state public defender shall submit quarterly to the state court administrator a report detailing all approved and paid attorney fee claims for termination of parental rights cases under Iowa Code chapter </w:t>
      </w:r>
      <w:hyperlink r:id="rId16">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9511C</w:t>
      </w:r>
      <w:r>
        <w:rPr>
          <w:rFonts w:ascii="Times New Roman" w:hAnsi="Times New Roman"/>
          <w:b w:val="false"/>
          <w:i w:val="false"/>
          <w:color w:val="000000"/>
          <w:sz w:val="16"/>
        </w:rPr>
        <w:t>, IAB 8/20/25, effective 9/24/25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13B</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600A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815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5/25/05—published 6/22/05, effective 5/25/05]</w:t>
      </w:r>
    </w:p>
    <w:p>
      <w:pPr>
        <w:spacing w:before="0" w:after="0"/>
        <w:ind w:left="120"/>
        <w:jc w:val="center"/>
      </w:pPr>
      <w:r>
        <w:rPr>
          <w:rFonts w:ascii="Times New Roman" w:hAnsi="Times New Roman"/>
          <w:b w:val="false"/>
          <w:i w:val="false"/>
          <w:color w:val="000000"/>
          <w:sz w:val="21"/>
        </w:rPr>
        <w:t>[Filed 7/27/05, Notice 6/22/05—published 8/17/05, effective 10/15/05]</w:t>
      </w:r>
    </w:p>
    <w:p>
      <w:pPr>
        <w:spacing w:before="0" w:after="0"/>
        <w:ind w:left="120"/>
        <w:jc w:val="center"/>
      </w:pPr>
      <w:r>
        <w:rPr>
          <w:rFonts w:ascii="Times New Roman" w:hAnsi="Times New Roman"/>
          <w:b w:val="false"/>
          <w:i w:val="false"/>
          <w:color w:val="000000"/>
          <w:sz w:val="21"/>
        </w:rPr>
        <w:t>[Filed 1/13/06, Notice 10/26/05—published 2/1/06, effective 3/8/06]</w:t>
      </w:r>
    </w:p>
    <w:p>
      <w:pPr>
        <w:spacing w:before="0" w:after="0"/>
        <w:ind w:left="120"/>
        <w:jc w:val="center"/>
      </w:pPr>
      <w:r>
        <w:rPr>
          <w:rFonts w:ascii="Times New Roman" w:hAnsi="Times New Roman"/>
          <w:b w:val="false"/>
          <w:i w:val="false"/>
          <w:color w:val="000000"/>
          <w:sz w:val="21"/>
        </w:rPr>
        <w:t>[Filed emergency 5/23/06—published 6/21/06, effective 7/1/06]</w:t>
      </w:r>
    </w:p>
    <w:p>
      <w:pPr>
        <w:spacing w:before="0" w:after="0"/>
        <w:ind w:left="120"/>
        <w:jc w:val="center"/>
      </w:pPr>
      <w:r>
        <w:rPr>
          <w:rFonts w:ascii="Times New Roman" w:hAnsi="Times New Roman"/>
          <w:b w:val="false"/>
          <w:i w:val="false"/>
          <w:color w:val="000000"/>
          <w:sz w:val="21"/>
        </w:rPr>
        <w:t>[Filed 8/11/06, Notice 6/21/06—published 8/30/06, effective 10/4/06]</w:t>
      </w:r>
    </w:p>
    <w:p>
      <w:pPr>
        <w:spacing w:before="0" w:after="0"/>
        <w:ind w:left="120"/>
        <w:jc w:val="center"/>
      </w:pPr>
      <w:r>
        <w:rPr>
          <w:rFonts w:ascii="Times New Roman" w:hAnsi="Times New Roman"/>
          <w:b w:val="false"/>
          <w:i w:val="false"/>
          <w:color w:val="000000"/>
          <w:sz w:val="21"/>
        </w:rPr>
        <w:t>[Filed emergency 6/15/07—published 7/4/07, effective 7/1/07]</w:t>
      </w:r>
    </w:p>
    <w:p>
      <w:pPr>
        <w:spacing w:before="0" w:after="0"/>
        <w:ind w:left="120"/>
        <w:jc w:val="center"/>
      </w:pPr>
      <w:r>
        <w:rPr>
          <w:rFonts w:ascii="Times New Roman" w:hAnsi="Times New Roman"/>
          <w:b w:val="false"/>
          <w:i w:val="false"/>
          <w:color w:val="000000"/>
          <w:sz w:val="21"/>
        </w:rPr>
        <w:t>[Filed 8/8/07, Notice 7/4/07—published 8/29/07, effective 10/3/07]</w:t>
      </w:r>
    </w:p>
    <w:p>
      <w:pPr>
        <w:spacing w:before="0" w:after="0"/>
        <w:ind w:left="120"/>
        <w:jc w:val="center"/>
      </w:pPr>
      <w:r>
        <w:rPr>
          <w:rFonts w:ascii="Times New Roman" w:hAnsi="Times New Roman"/>
          <w:b w:val="false"/>
          <w:i w:val="false"/>
          <w:color w:val="000000"/>
          <w:sz w:val="21"/>
        </w:rPr>
        <w:t>[Filed emergency 2/1/08—published 2/27/08, effective 2/1/08]</w:t>
      </w:r>
    </w:p>
    <w:p>
      <w:pPr>
        <w:spacing w:before="0" w:after="0"/>
        <w:ind w:left="120"/>
        <w:jc w:val="center"/>
      </w:pPr>
      <w:r>
        <w:rPr>
          <w:rFonts w:ascii="Times New Roman" w:hAnsi="Times New Roman"/>
          <w:b w:val="false"/>
          <w:i w:val="false"/>
          <w:color w:val="000000"/>
          <w:sz w:val="21"/>
        </w:rPr>
        <w:t>[Filed 4/3/08, Notice 2/27/08—published 4/23/08, effective 5/28/08]</w:t>
      </w:r>
    </w:p>
    <w:p>
      <w:pPr>
        <w:spacing w:before="0" w:after="0"/>
        <w:ind w:left="120"/>
        <w:jc w:val="center"/>
      </w:pPr>
      <w:r>
        <w:rPr>
          <w:rFonts w:ascii="Times New Roman" w:hAnsi="Times New Roman"/>
          <w:b w:val="false"/>
          <w:i w:val="false"/>
          <w:color w:val="000000"/>
          <w:sz w:val="21"/>
        </w:rPr>
        <w:t>[Filed ARC 1512C</w:t>
      </w:r>
      <w:r>
        <w:rPr>
          <w:rFonts w:ascii="Times New Roman" w:hAnsi="Times New Roman"/>
          <w:b w:val="false"/>
          <w:i w:val="false"/>
          <w:color w:val="000000"/>
          <w:sz w:val="21"/>
        </w:rPr>
        <w:t xml:space="preserve"> (Notice ARC 1437C, IAB 4/30/14)</w:t>
      </w:r>
      <w:r>
        <w:rPr>
          <w:rFonts w:ascii="Times New Roman" w:hAnsi="Times New Roman"/>
          <w:b w:val="false"/>
          <w:i w:val="false"/>
          <w:color w:val="000000"/>
          <w:sz w:val="21"/>
        </w:rPr>
        <w:t>, IAB 6/25/14, effective 7/30/14]</w:t>
      </w:r>
    </w:p>
    <w:p>
      <w:pPr>
        <w:spacing w:before="0" w:after="0"/>
        <w:ind w:left="120"/>
        <w:jc w:val="center"/>
      </w:pPr>
      <w:r>
        <w:rPr>
          <w:rFonts w:ascii="Times New Roman" w:hAnsi="Times New Roman"/>
          <w:b w:val="false"/>
          <w:i w:val="false"/>
          <w:color w:val="000000"/>
          <w:sz w:val="21"/>
        </w:rPr>
        <w:t>[Filed ARC 8685C</w:t>
      </w:r>
      <w:r>
        <w:rPr>
          <w:rFonts w:ascii="Times New Roman" w:hAnsi="Times New Roman"/>
          <w:b w:val="false"/>
          <w:i w:val="false"/>
          <w:color w:val="000000"/>
          <w:sz w:val="21"/>
        </w:rPr>
        <w:t xml:space="preserve"> (Notice ARC 8280C, IAB 10/30/24)</w:t>
      </w:r>
      <w:r>
        <w:rPr>
          <w:rFonts w:ascii="Times New Roman" w:hAnsi="Times New Roman"/>
          <w:b w:val="false"/>
          <w:i w:val="false"/>
          <w:color w:val="000000"/>
          <w:sz w:val="21"/>
        </w:rPr>
        <w:t>, IAB 12/25/24, effective 1/29/25]</w:t>
      </w:r>
    </w:p>
    <w:p>
      <w:pPr>
        <w:spacing w:before="0" w:after="0"/>
        <w:ind w:left="120"/>
        <w:jc w:val="center"/>
      </w:pPr>
      <w:r>
        <w:rPr>
          <w:rFonts w:ascii="Times New Roman" w:hAnsi="Times New Roman"/>
          <w:b w:val="false"/>
          <w:i w:val="false"/>
          <w:color w:val="000000"/>
          <w:sz w:val="21"/>
        </w:rPr>
        <w:t>[Filed ARC 9511C</w:t>
      </w:r>
      <w:r>
        <w:rPr>
          <w:rFonts w:ascii="Times New Roman" w:hAnsi="Times New Roman"/>
          <w:b w:val="false"/>
          <w:i w:val="false"/>
          <w:color w:val="000000"/>
          <w:sz w:val="21"/>
        </w:rPr>
        <w:t xml:space="preserve"> (Notice ARC 9369C, IAB 6/25/25)</w:t>
      </w:r>
      <w:r>
        <w:rPr>
          <w:rFonts w:ascii="Times New Roman" w:hAnsi="Times New Roman"/>
          <w:b w:val="false"/>
          <w:i w:val="false"/>
          <w:color w:val="000000"/>
          <w:sz w:val="21"/>
        </w:rPr>
        <w:t>, IAB 8/20/25, effective 9/24/25]</w:t>
      </w:r>
    </w:p>
    <w:sectPr>
      <w:footerReference r:id="rId2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00A.pdf" Type="http://schemas.openxmlformats.org/officeDocument/2006/relationships/hyperlink" Id="rId5"/>
    <Relationship TargetMode="External" Target="https://www.legis.iowa.gov/docs/iac/chapter/493.7.pdf" Type="http://schemas.openxmlformats.org/officeDocument/2006/relationships/hyperlink" Id="rId6"/>
    <Relationship TargetMode="External" Target="https://www.legis.iowa.gov/docs/iac/chapter/493.11.pdf" Type="http://schemas.openxmlformats.org/officeDocument/2006/relationships/hyperlink" Id="rId7"/>
    <Relationship TargetMode="External" Target="https://www.legis.iowa.gov/docs/iac/chapter/493.12.pdf" Type="http://schemas.openxmlformats.org/officeDocument/2006/relationships/hyperlink" Id="rId8"/>
    <Relationship TargetMode="External" Target="https://www.legis.iowa.gov/docs/ico/chapter/600A.2.pdf" Type="http://schemas.openxmlformats.org/officeDocument/2006/relationships/hyperlink" Id="rId9"/>
    <Relationship TargetMode="External" Target="https://www.legis.iowa.gov/docs/ico/chapter/600A.pdf" Type="http://schemas.openxmlformats.org/officeDocument/2006/relationships/hyperlink" Id="rId10"/>
    <Relationship TargetMode="External" Target="https://www.legis.iowa.gov/docs/ico/chapter/815.7.pdf" Type="http://schemas.openxmlformats.org/officeDocument/2006/relationships/hyperlink" Id="rId11"/>
    <Relationship TargetMode="External" Target="https://www.legis.iowa.gov/docs/ico/chapter/600A.pdf" Type="http://schemas.openxmlformats.org/officeDocument/2006/relationships/hyperlink" Id="rId12"/>
    <Relationship TargetMode="External" Target="https://www.legis.iowa.gov/docs/iac/chapter/493.12.pdf" Type="http://schemas.openxmlformats.org/officeDocument/2006/relationships/hyperlink" Id="rId13"/>
    <Relationship TargetMode="External" Target="https://www.legis.iowa.gov/docs/iac/chapter/493.12.pdf" Type="http://schemas.openxmlformats.org/officeDocument/2006/relationships/hyperlink" Id="rId14"/>
    <Relationship TargetMode="External" Target="https://www.legis.iowa.gov/docs/iac/chapter/493.12.pdf" Type="http://schemas.openxmlformats.org/officeDocument/2006/relationships/hyperlink" Id="rId15"/>
    <Relationship TargetMode="External" Target="https://www.legis.iowa.gov/docs/ico/chapter/600A.pdf" Type="http://schemas.openxmlformats.org/officeDocument/2006/relationships/hyperlink" Id="rId16"/>
    <Relationship TargetMode="External" Target="https://www.legis.iowa.gov/docs/ico/chapter/13B.pdf" Type="http://schemas.openxmlformats.org/officeDocument/2006/relationships/hyperlink" Id="rId17"/>
    <Relationship TargetMode="External" Target="https://www.legis.iowa.gov/docs/ico/chapter/600A.pdf" Type="http://schemas.openxmlformats.org/officeDocument/2006/relationships/hyperlink" Id="rId18"/>
    <Relationship TargetMode="External" Target="https://www.legis.iowa.gov/docs/ico/chapter/815.pdf" Type="http://schemas.openxmlformats.org/officeDocument/2006/relationships/hyperlink" Id="rId19"/>
    <Relationship Target="footer.xml" Type="http://schemas.openxmlformats.org/officeDocument/2006/relationships/footer"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