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ELIGIBILITY GUIDELINES FOR COURT-APPOINTED COUNSEL</w:t>
      </w:r>
    </w:p>
    <w:p>
      <w:pPr>
        <w:spacing w:before="0" w:after="0"/>
        <w:ind w:left="120"/>
        <w:jc w:val="center"/>
      </w:pPr>
      <w:r>
        <w:rPr>
          <w:rFonts w:ascii="Times New Roman" w:hAnsi="Times New Roman"/>
          <w:b w:val="false"/>
          <w:i w:val="false"/>
          <w:color w:val="000000"/>
          <w:sz w:val="14"/>
        </w:rPr>
        <w:t>[Prior to 2/20/02, see 493—Chapter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493—10.1</w:t>
      </w:r>
      <w:r>
        <w:rPr>
          <w:rFonts w:ascii="Times New Roman" w:hAnsi="Times New Roman"/>
          <w:b/>
          <w:i w:val="false"/>
          <w:color w:val="000000"/>
          <w:sz w:val="22"/>
        </w:rPr>
        <w:t xml:space="preserve">(815) </w:t>
      </w:r>
      <w:r>
        <w:rPr>
          <w:rFonts w:ascii="Times New Roman" w:hAnsi="Times New Roman"/>
          <w:b/>
          <w:i w:val="false"/>
          <w:color w:val="000000"/>
          <w:sz w:val="22"/>
        </w:rPr>
        <w:t xml:space="preserve">Eligibility. </w:t>
      </w:r>
      <w:r>
        <w:rPr>
          <w:rFonts w:ascii="Times New Roman" w:hAnsi="Times New Roman"/>
          <w:b w:val="false"/>
          <w:i w:val="false"/>
          <w:color w:val="000000"/>
          <w:sz w:val="22"/>
        </w:rPr>
        <w:t xml:space="preserve">The eligibility of any person for legal assistance by an appointed attorney shall be determined in accordance with Iowa Code section </w:t>
      </w:r>
      <w:hyperlink r:id="rId5">
        <w:r>
          <w:rPr>
            <w:rStyle w:val="Hyperlink"/>
            <w:rFonts w:ascii="Times New Roman" w:hAnsi="Times New Roman"/>
            <w:b w:val="false"/>
            <w:i w:val="false"/>
            <w:color w:val="000000"/>
            <w:sz w:val="22"/>
          </w:rPr>
          <w:t>815.9</w:t>
        </w:r>
      </w:hyperlink>
      <w:r>
        <w:rPr>
          <w:rFonts w:ascii="Times New Roman" w:hAnsi="Times New Roman"/>
          <w:b w:val="false"/>
          <w:i w:val="false"/>
          <w:color w:val="000000"/>
          <w:sz w:val="22"/>
        </w:rPr>
        <w:t xml:space="preserve"> and with the guidelines set forth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9507C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493—10.2</w:t>
      </w:r>
      <w:r>
        <w:rPr>
          <w:rFonts w:ascii="Times New Roman" w:hAnsi="Times New Roman"/>
          <w:b/>
          <w:i w:val="false"/>
          <w:color w:val="000000"/>
          <w:sz w:val="22"/>
        </w:rPr>
        <w:t xml:space="preserve">(815) </w:t>
      </w:r>
      <w:r>
        <w:rPr>
          <w:rFonts w:ascii="Times New Roman" w:hAnsi="Times New Roman"/>
          <w:b/>
          <w:i w:val="false"/>
          <w:color w:val="000000"/>
          <w:sz w:val="22"/>
        </w:rPr>
        <w:t xml:space="preserve">Income guidelines. </w:t>
      </w:r>
      <w:r>
        <w:rPr>
          <w:rFonts w:ascii="Times New Roman" w:hAnsi="Times New Roman"/>
          <w:b w:val="false"/>
          <w:i w:val="false"/>
          <w:color w:val="000000"/>
          <w:sz w:val="22"/>
        </w:rPr>
        <w:t>Annually, the state public defender shall provide information to the court showing the most recently revised poverty income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9507C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493—10.3</w:t>
      </w:r>
      <w:r>
        <w:rPr>
          <w:rFonts w:ascii="Times New Roman" w:hAnsi="Times New Roman"/>
          <w:b/>
          <w:i w:val="false"/>
          <w:color w:val="000000"/>
          <w:sz w:val="22"/>
        </w:rPr>
        <w:t xml:space="preserve">(815) </w:t>
      </w:r>
      <w:r>
        <w:rPr>
          <w:rFonts w:ascii="Times New Roman" w:hAnsi="Times New Roman"/>
          <w:b/>
          <w:i w:val="false"/>
          <w:color w:val="000000"/>
          <w:sz w:val="22"/>
        </w:rPr>
        <w:t xml:space="preserve">Designation of eligibility reviewer. </w:t>
      </w:r>
      <w:r>
        <w:rPr>
          <w:rFonts w:ascii="Times New Roman" w:hAnsi="Times New Roman"/>
          <w:b w:val="false"/>
          <w:i w:val="false"/>
          <w:color w:val="000000"/>
          <w:sz w:val="22"/>
        </w:rPr>
        <w:t>The chief judge of each judicial district may designate the person(s) or entity to evaluate the eligibility of a person for legal assistance by an appointed attorney. However, the decision to appoint counsel remains with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9507C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493—10.4</w:t>
      </w:r>
      <w:r>
        <w:rPr>
          <w:rFonts w:ascii="Times New Roman" w:hAnsi="Times New Roman"/>
          <w:b/>
          <w:i w:val="false"/>
          <w:color w:val="000000"/>
          <w:sz w:val="22"/>
        </w:rPr>
        <w:t xml:space="preserve">(815) </w:t>
      </w:r>
      <w:r>
        <w:rPr>
          <w:rFonts w:ascii="Times New Roman" w:hAnsi="Times New Roman"/>
          <w:b/>
          <w:i w:val="false"/>
          <w:color w:val="000000"/>
          <w:sz w:val="22"/>
        </w:rPr>
        <w:t xml:space="preserve">Application. </w:t>
      </w:r>
      <w:r>
        <w:rPr>
          <w:rFonts w:ascii="Times New Roman" w:hAnsi="Times New Roman"/>
          <w:b w:val="false"/>
          <w:i w:val="false"/>
          <w:color w:val="000000"/>
          <w:sz w:val="22"/>
        </w:rPr>
        <w:t>Any person claiming to be entitled to legal representation by an appointed attorney shall have an indigency evaluation before being provided legal representation. The applicant should provide information on an affidavit of financial status. This form will be prescribed by the state public defender, but any form containing substantially the same information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Affidavit. </w:t>
      </w:r>
      <w:r>
        <w:rPr>
          <w:rFonts w:ascii="Times New Roman" w:hAnsi="Times New Roman"/>
          <w:b w:val="false"/>
          <w:i w:val="false"/>
          <w:color w:val="000000"/>
          <w:sz w:val="22"/>
        </w:rPr>
        <w:t>The applicant shall provide information required by the affidavit of financial status under penalty of perjury.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The applicant shall provide information that accurately represents the number of family members who are supported by or live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The applicant shall provide information that accurately represents the total gross income received or reasonably anticipated to be received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color w:val="000000"/>
          <w:sz w:val="22"/>
        </w:rPr>
        <w:t xml:space="preserve">Household income. </w:t>
      </w:r>
      <w:r>
        <w:rPr>
          <w:rFonts w:ascii="Times New Roman" w:hAnsi="Times New Roman"/>
          <w:b w:val="false"/>
          <w:i w:val="false"/>
          <w:color w:val="000000"/>
          <w:sz w:val="22"/>
        </w:rPr>
        <w:t>The applicant shall provide information that accurately represents the gross income of the household in which the applicant lives. The income of a spouse need not be included if the spouse is the alleged victim of the offense charged. The income of a child member of the household need not be included unless the legal representation is sought for the child in a delinquency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color w:val="000000"/>
          <w:sz w:val="22"/>
        </w:rPr>
        <w:t xml:space="preserve">Assets. </w:t>
      </w:r>
      <w:r>
        <w:rPr>
          <w:rFonts w:ascii="Times New Roman" w:hAnsi="Times New Roman"/>
          <w:b w:val="false"/>
          <w:i w:val="false"/>
          <w:color w:val="000000"/>
          <w:sz w:val="22"/>
        </w:rPr>
        <w:t>The applicant shall provide information that accurately represents the total assets owned, in whole or in part, by the applicant. This includes the requirement to disclose interest in real property and tangible and intangible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color w:val="000000"/>
          <w:sz w:val="22"/>
        </w:rPr>
        <w:t xml:space="preserve">Liabilities. </w:t>
      </w:r>
      <w:r>
        <w:rPr>
          <w:rFonts w:ascii="Times New Roman" w:hAnsi="Times New Roman"/>
          <w:b w:val="false"/>
          <w:i w:val="false"/>
          <w:color w:val="000000"/>
          <w:sz w:val="22"/>
        </w:rPr>
        <w:t>The applicant shall provide information that accurately represents the total monthly debts and expenses for which the applicant is responsible. Child support and alimony payments should be included only when payments have been made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w:t>
      </w:r>
      <w:r>
        <w:rPr>
          <w:rFonts w:ascii="Times New Roman" w:hAnsi="Times New Roman"/>
          <w:b w:val="false"/>
          <w:i w:val="false"/>
          <w:color w:val="000000"/>
          <w:sz w:val="22"/>
        </w:rPr>
        <w:t> </w:t>
      </w:r>
      <w:r>
        <w:rPr>
          <w:rFonts w:ascii="Times New Roman" w:hAnsi="Times New Roman"/>
          <w:b w:val="false"/>
          <w:i/>
          <w:color w:val="000000"/>
          <w:sz w:val="22"/>
        </w:rPr>
        <w:t xml:space="preserve">Nature of proceedings. </w:t>
      </w:r>
      <w:r>
        <w:rPr>
          <w:rFonts w:ascii="Times New Roman" w:hAnsi="Times New Roman"/>
          <w:b w:val="false"/>
          <w:i w:val="false"/>
          <w:color w:val="000000"/>
          <w:sz w:val="22"/>
        </w:rPr>
        <w:t>In a criminal case, the affidavit of financial status shall contain a statement of the charge(s) against the defendant. In a juvenile or civil case, a statement of the nature of the proceedings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w:t>
      </w:r>
      <w:r>
        <w:rPr>
          <w:rFonts w:ascii="Times New Roman" w:hAnsi="Times New Roman"/>
          <w:b w:val="false"/>
          <w:i w:val="false"/>
          <w:color w:val="000000"/>
          <w:sz w:val="22"/>
        </w:rPr>
        <w:t> </w:t>
      </w:r>
      <w:r>
        <w:rPr>
          <w:rFonts w:ascii="Times New Roman" w:hAnsi="Times New Roman"/>
          <w:b w:val="false"/>
          <w:i/>
          <w:color w:val="000000"/>
          <w:sz w:val="22"/>
        </w:rPr>
        <w:t xml:space="preserve">Child applicant. </w:t>
      </w:r>
      <w:r>
        <w:rPr>
          <w:rFonts w:ascii="Times New Roman" w:hAnsi="Times New Roman"/>
          <w:b w:val="false"/>
          <w:i w:val="false"/>
          <w:color w:val="000000"/>
          <w:sz w:val="22"/>
        </w:rPr>
        <w:t>If the applicant is a child, the child’s parent, guardian or custodian shall complete the affidavit of financial status. The affidavit of financial status shall include a statement of the income, assets and liabilities of the person(s) having a legal obligation to support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applicant shall provide such additional information as may be required by the court to determine the applicant’s eligibility for appointed counsel. The applicant has a continuing duty to update information provided in the affidavit of financial status to reflect changes in the information previously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9507C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493—10.5</w:t>
      </w:r>
      <w:r>
        <w:rPr>
          <w:rFonts w:ascii="Times New Roman" w:hAnsi="Times New Roman"/>
          <w:b/>
          <w:i w:val="false"/>
          <w:color w:val="000000"/>
          <w:sz w:val="22"/>
        </w:rPr>
        <w:t xml:space="preserve">(815) </w:t>
      </w:r>
      <w:r>
        <w:rPr>
          <w:rFonts w:ascii="Times New Roman" w:hAnsi="Times New Roman"/>
          <w:b/>
          <w:i w:val="false"/>
          <w:color w:val="000000"/>
          <w:sz w:val="22"/>
        </w:rPr>
        <w:t xml:space="preserve">Evaluation of affidavit of financial status. </w:t>
      </w:r>
      <w:r>
        <w:rPr>
          <w:rFonts w:ascii="Times New Roman" w:hAnsi="Times New Roman"/>
          <w:b w:val="false"/>
          <w:i w:val="false"/>
          <w:color w:val="000000"/>
          <w:sz w:val="22"/>
        </w:rPr>
        <w:t>In determining whether counsel should be appointed to represent the applicant, the court should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The total size of the applicant’s household shall be used to determine eligibility for appointed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color w:val="000000"/>
          <w:sz w:val="22"/>
        </w:rPr>
        <w:t xml:space="preserve">Household income. </w:t>
      </w:r>
      <w:r>
        <w:rPr>
          <w:rFonts w:ascii="Times New Roman" w:hAnsi="Times New Roman"/>
          <w:b w:val="false"/>
          <w:i w:val="false"/>
          <w:color w:val="000000"/>
          <w:sz w:val="22"/>
        </w:rPr>
        <w:t>The applicant’s income, or the combined income of the applicant and the applicant’s spouse if they are living in the same residence, shall be used in determining an applicant’s household income,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income of the applicant’s spouse shall not be considered if the spouse is the alleged victim of the offense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income of a child shall not be considered unless the child is requesting representation in a delinquency case or unless the child is under a conservatorship or is the beneficiary of trust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 juvenile proceeding, the income of both parents shall be considered in determining whether the child is entitled to appointed counsel. If a child’s parents are divorced, the household income of each parent shall be considered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color w:val="000000"/>
          <w:sz w:val="22"/>
        </w:rPr>
        <w:t xml:space="preserve">Federal Department of Health and Human Services (DHHS) poverty income guidelines. </w:t>
      </w:r>
      <w:r>
        <w:rPr>
          <w:rFonts w:ascii="Times New Roman" w:hAnsi="Times New Roman"/>
          <w:b w:val="false"/>
          <w:i w:val="false"/>
          <w:color w:val="000000"/>
          <w:sz w:val="22"/>
        </w:rPr>
        <w:t xml:space="preserve">The applicant’s family size and household income shall be compared to the DHHS poverty income guidelines to determine whether the applicant’s household income is 125 percent or less of the federal poverty level; between 125 percent and 200 percent of the federal poverty level; or 200 percent or greater of the federal poverty level as set forth in Iowa Code section </w:t>
      </w:r>
      <w:hyperlink r:id="rId6">
        <w:r>
          <w:rPr>
            <w:rStyle w:val="Hyperlink"/>
            <w:rFonts w:ascii="Times New Roman" w:hAnsi="Times New Roman"/>
            <w:b w:val="false"/>
            <w:i w:val="false"/>
            <w:color w:val="000000"/>
            <w:sz w:val="22"/>
          </w:rPr>
          <w:t>815.9(1)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juvenile cases. </w:t>
      </w:r>
      <w:r>
        <w:rPr>
          <w:rFonts w:ascii="Times New Roman" w:hAnsi="Times New Roman"/>
          <w:b w:val="false"/>
          <w:i w:val="false"/>
          <w:color w:val="000000"/>
          <w:sz w:val="22"/>
        </w:rPr>
        <w:t>In evaluating whether to appoint counsel for a parent in a juvenile proceeding, the court shall consider not only the applicant’s income but also the availability of any assets subject to execution and the nature of the proceeding in determining whether the parent is financially unable to employ counsel.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9507C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493—10.6</w:t>
      </w:r>
      <w:r>
        <w:rPr>
          <w:rFonts w:ascii="Times New Roman" w:hAnsi="Times New Roman"/>
          <w:b/>
          <w:i w:val="false"/>
          <w:color w:val="000000"/>
          <w:sz w:val="22"/>
        </w:rPr>
        <w:t xml:space="preserve">(815)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The state public defender shall promulgate forms to be used in court proceedings, including an Adult Affidavit of Financial Status, Juvenile Affidavit of Financial Status, Wage Assignment, and such other forms as the state public defender deems appropriate. Such forms shall be available at the administrative office of the state public defender and published on the state public defender’s website at </w:t>
      </w:r>
      <w:hyperlink r:id="rId7">
        <w:r>
          <w:rPr>
            <w:rStyle w:val="Hyperlink"/>
            <w:rFonts w:ascii="Times New Roman" w:hAnsi="Times New Roman"/>
            <w:b w:val="false"/>
            <w:i w:val="false"/>
            <w:color w:val="000000"/>
            <w:sz w:val="22"/>
            <w:u w:val="single"/>
          </w:rPr>
          <w:t>spd.iowa.gov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9507C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9/1/93—published 9/29/93, effective 9/1/93]</w:t>
      </w:r>
    </w:p>
    <w:p>
      <w:pPr>
        <w:spacing w:before="0" w:after="0"/>
        <w:ind w:left="120"/>
        <w:jc w:val="center"/>
      </w:pPr>
      <w:r>
        <w:rPr>
          <w:rFonts w:ascii="Times New Roman" w:hAnsi="Times New Roman"/>
          <w:b w:val="false"/>
          <w:i w:val="false"/>
          <w:color w:val="000000"/>
          <w:sz w:val="21"/>
        </w:rPr>
        <w:t>[Filed emergency 1/21/97—published 2/12/97, effective 1/21/97]</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10/26/99, Notice 6/30/99—published 11/17/99, effective 12/22/99]</w:t>
      </w:r>
    </w:p>
    <w:p>
      <w:pPr>
        <w:spacing w:before="0" w:after="0"/>
        <w:ind w:left="120"/>
        <w:jc w:val="center"/>
      </w:pPr>
      <w:r>
        <w:rPr>
          <w:rFonts w:ascii="Times New Roman" w:hAnsi="Times New Roman"/>
          <w:b w:val="false"/>
          <w:i w:val="false"/>
          <w:color w:val="000000"/>
          <w:sz w:val="21"/>
        </w:rPr>
        <w:t>[Filed 1/31/02, Notice 12/26/01—published 2/20/02, effective 4/1/02]</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ARC 9938B</w:t>
      </w:r>
      <w:r>
        <w:rPr>
          <w:rFonts w:ascii="Times New Roman" w:hAnsi="Times New Roman"/>
          <w:b w:val="false"/>
          <w:i w:val="false"/>
          <w:color w:val="000000"/>
          <w:sz w:val="21"/>
        </w:rPr>
        <w:t xml:space="preserve"> (Notice ARC 9817B, IAB 11/2/11)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6800C</w:t>
      </w:r>
      <w:r>
        <w:rPr>
          <w:rFonts w:ascii="Times New Roman" w:hAnsi="Times New Roman"/>
          <w:b w:val="false"/>
          <w:i w:val="false"/>
          <w:color w:val="000000"/>
          <w:sz w:val="21"/>
        </w:rPr>
        <w:t xml:space="preserve"> (Notice ARC 6671C, IAB 11/16/22)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9507C</w:t>
      </w:r>
      <w:r>
        <w:rPr>
          <w:rFonts w:ascii="Times New Roman" w:hAnsi="Times New Roman"/>
          <w:b w:val="false"/>
          <w:i w:val="false"/>
          <w:color w:val="000000"/>
          <w:sz w:val="21"/>
        </w:rPr>
        <w:t xml:space="preserve"> (Notice ARC 9367C, IAB 6/25/25)</w:t>
      </w:r>
      <w:r>
        <w:rPr>
          <w:rFonts w:ascii="Times New Roman" w:hAnsi="Times New Roman"/>
          <w:b w:val="false"/>
          <w:i w:val="false"/>
          <w:color w:val="000000"/>
          <w:sz w:val="21"/>
        </w:rPr>
        <w:t>, IAB 8/20/25, effective 9/24/25]</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15.9.pdf" Type="http://schemas.openxmlformats.org/officeDocument/2006/relationships/hyperlink" Id="rId5"/>
    <Relationship TargetMode="External" Target="https://www.legis.iowa.gov/docs/ico/chapter/815.9.pdf" Type="http://schemas.openxmlformats.org/officeDocument/2006/relationships/hyperlink" Id="rId6"/>
    <Relationship TargetMode="External" Target="http://spd.iowa.gov" Type="http://schemas.openxmlformats.org/officeDocument/2006/relationships/hyperlink" Id="rId7"/>
    <Relationship TargetMode="External" Target="https://www.legis.iowa.gov/docs/ico/chapter/13B.pdf" Type="http://schemas.openxmlformats.org/officeDocument/2006/relationships/hyperlink" Id="rId8"/>
    <Relationship TargetMode="External" Target="https://www.legis.iowa.gov/docs/ico/chapter/815.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