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TRACK, GAMBLING STRUCTURE, AND EXCURSION GAMBLING BOAT</w:t>
      </w:r>
      <w:r>
        <w:br/>
      </w:r>
      <w:r>
        <w:rPr>
          <w:rFonts w:ascii="Times New Roman" w:hAnsi="Times New Roman"/>
          <w:b w:val="false"/>
          <w:i w:val="false"/>
          <w:color w:val="000000"/>
          <w:sz w:val="21"/>
        </w:rPr>
        <w:t>LICENSEES’ RESPONSIBILITIES</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8/9/00, see also 491—Chs 20 and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491—5.1</w:t>
      </w:r>
      <w:r>
        <w:rPr>
          <w:rFonts w:ascii="Times New Roman" w:hAnsi="Times New Roman"/>
          <w:b/>
          <w:i w:val="false"/>
          <w:color w:val="000000"/>
          <w:sz w:val="22"/>
        </w:rPr>
        <w:t xml:space="preserve">(99D,99F) </w:t>
      </w:r>
      <w:r>
        <w:rPr>
          <w:rFonts w:ascii="Times New Roman" w:hAnsi="Times New Roman"/>
          <w:b/>
          <w:i w:val="false"/>
          <w:color w:val="000000"/>
          <w:sz w:val="22"/>
        </w:rPr>
        <w:t xml:space="preserve">In general. </w:t>
      </w:r>
      <w:r>
        <w:rPr>
          <w:rFonts w:ascii="Times New Roman" w:hAnsi="Times New Roman"/>
          <w:b w:val="false"/>
          <w:i w:val="false"/>
          <w:color w:val="000000"/>
          <w:sz w:val="22"/>
        </w:rPr>
        <w:t>For purposes of this chapter, the requirements placed upon an applicant shall become a requirement to the licensee once a license to race or operate a gaming facility has been granted. Every license is granted upon the condition that the license holder shall accept, observe, and enforce the rules and regulations of the commission. It is the affirmative responsibility and continuing duty of each officer, director, and employee of said license holder to comply with the requirements of the application and conditions of the license and to observe and enforce the rules. The holding of a license is a privilege. The burden of proving qualifications for the privilege to receive any license is on the licensee at all times. A licensee must accept all risks of adverse public notice or public opinion, embarrassment, criticism, or financial loss that may result from action with respect to a license. Licensees further covenant and agree to hold harmless and indemnify the Iowa racing and gaming commission from any claim arising from any action of the commission in connection with that license. This chapter applies to a license to race or operate a gaming facility unless otherwise noted.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491—5.2</w:t>
      </w:r>
      <w:r>
        <w:rPr>
          <w:rFonts w:ascii="Times New Roman" w:hAnsi="Times New Roman"/>
          <w:b/>
          <w:i w:val="false"/>
          <w:color w:val="000000"/>
          <w:sz w:val="22"/>
        </w:rPr>
        <w:t xml:space="preserve">(99D,99F) </w:t>
      </w:r>
      <w:r>
        <w:rPr>
          <w:rFonts w:ascii="Times New Roman" w:hAnsi="Times New Roman"/>
          <w:b/>
          <w:i w:val="false"/>
          <w:color w:val="000000"/>
          <w:sz w:val="22"/>
        </w:rPr>
        <w:t xml:space="preserve">Annual reports. </w:t>
      </w:r>
      <w:r>
        <w:rPr>
          <w:rFonts w:ascii="Times New Roman" w:hAnsi="Times New Roman"/>
          <w:b w:val="false"/>
          <w:i w:val="false"/>
          <w:color w:val="000000"/>
          <w:sz w:val="22"/>
        </w:rPr>
        <w:t xml:space="preserve">Licensees shall submit audits to the commission as required by Iowa Code sections </w:t>
      </w:r>
      <w:hyperlink r:id="rId5">
        <w:r>
          <w:rPr>
            <w:rStyle w:val="Hyperlink"/>
            <w:rFonts w:ascii="Times New Roman" w:hAnsi="Times New Roman"/>
            <w:b w:val="false"/>
            <w:i w:val="false"/>
            <w:color w:val="000000"/>
            <w:sz w:val="22"/>
          </w:rPr>
          <w:t>99D.20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99F.13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of financial transactions and condition of licensee’s operation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internal control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audit shall be conducted by certified public accountants authorized to practice in the state of Iowa under Iowa Code chapter </w:t>
      </w:r>
      <w:hyperlink r:id="rId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balance sheet;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profit-and-loss statement pertaining to the licensee’s activities in the state, including a breakdown of expenditures and subsidies.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If the licensee’s fiscal year does not correspond to the calendar year, a supplemental schedule indicating financial activities on a calendar-year basis shall be included in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val="false"/>
          <w:color w:val="000000"/>
          <w:sz w:val="22"/>
        </w:rPr>
        <w:t>In the event of a license termination, change in business entity, or material change in ownership, the administrator may require the filing of an interim report, as of the date of occurrence of the event. The filing due date shall be the later of 30 calendar days after notification to the licensee or 30 calendar days after the date of the occurrence of the event, unless an extension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val="false"/>
          <w:color w:val="000000"/>
          <w:sz w:val="22"/>
        </w:rPr>
        <w:t>An engagement letter for the audit between the licensee and auditing firm shall be available upon request. The engagement letter requirement does not apply to the licensed qualified sponsoring organization. Conditions of engagement for the audit shall include, at a minimum,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auditing firm shall report any material errors, irregularities or illegal acts that come to the firm’s attention during the course of an audit to the licensee’s audit committee or senior management as required by the rules of professional conduct that apply to the auditing firm. The licensee shall report such material errors, irregularities or illegal acts to the commission in a timely manner following reporting to the licensee’s audit committee or senior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auditing firm shall inform the commission in writing of matters that come to the firm’s attention that represent significant deficiencies in the design or operation of the internal control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audit supervisor or an audit staff member conducting the audit must have experience or training in the gaming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auditing firm agrees to respond timely to all reasonable requests of successor auditors.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auditing firm agrees, if requested by the commission, to provide licensee management and the commission with recommendations designed to help the licensee make improvements in its internal control structure and operation, and other matters that are discovered during the audit.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w:t>
      </w:r>
      <w:r>
        <w:rPr>
          <w:rFonts w:ascii="Times New Roman" w:hAnsi="Times New Roman"/>
          <w:b w:val="false"/>
          <w:i w:val="false"/>
          <w:color w:val="000000"/>
          <w:sz w:val="22"/>
        </w:rPr>
        <w:t> </w:t>
      </w:r>
      <w:r>
        <w:rPr>
          <w:rFonts w:ascii="Times New Roman" w:hAnsi="Times New Roman"/>
          <w:b w:val="false"/>
          <w:i w:val="false"/>
          <w:color w:val="000000"/>
          <w:sz w:val="22"/>
        </w:rPr>
        <w:t xml:space="preserve"> For a licensed subsidiary of a parent company, an audit of the parent company may be filed with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consolidated financial statements shall include in the supplemental schedule, or elsewhere as determined by the licensee and auditing firm, for each licensee: balance sheets, statements of operations, statements of cash flows, schedules of operating expenses and schedules of adjusted gross revenue and taxes and fees paid to governmental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internal audit staff assisting with the audit shall report any material errors, irregularities or illegal acts that come to the staff’s attention during the course of an audit to the licensee’s audit committee or senior management as required by the rules of professional conduct. The licensee shall report such material errors, irregularities or illegal acts to the commission in a timely manner following reporting to the licensee’s audit committee or senior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other requirements in this rule are met and included for each entity licensed in Iowa unless an exception is granted in writing by the commission (or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audit report required by Iowa Code section </w:t>
      </w:r>
      <w:hyperlink r:id="rId8">
        <w:r>
          <w:rPr>
            <w:rStyle w:val="Hyperlink"/>
            <w:rFonts w:ascii="Times New Roman" w:hAnsi="Times New Roman"/>
            <w:b w:val="false"/>
            <w:i w:val="false"/>
            <w:color w:val="000000"/>
            <w:sz w:val="22"/>
          </w:rPr>
          <w:t>99D.20</w:t>
        </w:r>
      </w:hyperlink>
      <w:r>
        <w:rPr>
          <w:rFonts w:ascii="Times New Roman" w:hAnsi="Times New Roman"/>
          <w:b w:val="false"/>
          <w:i w:val="false"/>
          <w:color w:val="000000"/>
          <w:sz w:val="22"/>
        </w:rPr>
        <w:t xml:space="preserve"> shall include a schedule detailing the following information: number of performances; attendance; regulatory fee; total mutuel handle and taxes paid to the state, city, and county; unclaimed winnings; purses paid indicating sources; total breakage and disbursements; and the disbursements of 1 percent of exotic wagers on three or more racing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audit report required by Iowa Code section </w:t>
      </w:r>
      <w:hyperlink r:id="rId9">
        <w:r>
          <w:rPr>
            <w:rStyle w:val="Hyperlink"/>
            <w:rFonts w:ascii="Times New Roman" w:hAnsi="Times New Roman"/>
            <w:b w:val="false"/>
            <w:i w:val="false"/>
            <w:color w:val="000000"/>
            <w:sz w:val="22"/>
          </w:rPr>
          <w:t>99F.13</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schedule detailing a weekly breakdown of adjusted gross revenue; taxes paid to the state, city, county, and county endowment fund; and regulatory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on whether material weaknesses in internal accounting control exist.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Internal control records, compliance records, marketing expenses, and supplemental schedules included in the annual reports shall be kept confidential, as outlined in Iowa Code section </w:t>
      </w:r>
      <w:hyperlink r:id="rId10">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491—5.3</w:t>
      </w:r>
      <w:r>
        <w:rPr>
          <w:rFonts w:ascii="Times New Roman" w:hAnsi="Times New Roman"/>
          <w:b/>
          <w:i w:val="false"/>
          <w:color w:val="000000"/>
          <w:sz w:val="22"/>
        </w:rPr>
        <w:t xml:space="preserve">(99D,99F) </w:t>
      </w:r>
      <w:r>
        <w:rPr>
          <w:rFonts w:ascii="Times New Roman" w:hAnsi="Times New Roman"/>
          <w:b/>
          <w:i w:val="false"/>
          <w:color w:val="000000"/>
          <w:sz w:val="22"/>
        </w:rPr>
        <w:t xml:space="preserve">Information. </w:t>
      </w:r>
      <w:r>
        <w:rPr>
          <w:rFonts w:ascii="Times New Roman" w:hAnsi="Times New Roman"/>
          <w:b w:val="false"/>
          <w:i w:val="false"/>
          <w:color w:val="000000"/>
          <w:sz w:val="22"/>
        </w:rPr>
        <w:t>The licensee shall submit all information specifically requested by the commission or commission representative.</w:t>
      </w:r>
    </w:p>
    <w:p>
      <w:pPr>
        <w:spacing w:before="0" w:after="0"/>
        <w:ind w:left="120"/>
        <w:jc w:val="both"/>
      </w:pPr>
      <w:r>
        <w:rPr>
          <w:rFonts w:ascii="Times New Roman" w:hAnsi="Times New Roman"/>
          <w:b/>
          <w:i w:val="false"/>
          <w:color w:val="000000"/>
          <w:sz w:val="22"/>
        </w:rPr>
        <w:t>491—5.4</w:t>
      </w:r>
      <w:r>
        <w:rPr>
          <w:rFonts w:ascii="Times New Roman" w:hAnsi="Times New Roman"/>
          <w:b/>
          <w:i w:val="false"/>
          <w:color w:val="000000"/>
          <w:sz w:val="22"/>
        </w:rPr>
        <w:t xml:space="preserve">(99D,99F) </w:t>
      </w:r>
      <w:r>
        <w:rPr>
          <w:rFonts w:ascii="Times New Roman" w:hAnsi="Times New Roman"/>
          <w:b/>
          <w:i w:val="false"/>
          <w:color w:val="000000"/>
          <w:sz w:val="22"/>
        </w:rPr>
        <w:t xml:space="preserve">Uniform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Maintenance of premises and facilities. </w:t>
      </w:r>
      <w:r>
        <w:rPr>
          <w:rFonts w:ascii="Times New Roman" w:hAnsi="Times New Roman"/>
          <w:b w:val="false"/>
          <w:i w:val="false"/>
          <w:color w:val="000000"/>
          <w:sz w:val="22"/>
        </w:rPr>
        <w:t>Each licensee shall at all times maintain its premises and facilities so as to be neat and clean, well landscaped, painted and in good repair, handicapped accessible, with special consideration for the comfort and safety of patrons, employees, and other persons whose business requires their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Facilities for commission. </w:t>
      </w:r>
      <w:r>
        <w:rPr>
          <w:rFonts w:ascii="Times New Roman" w:hAnsi="Times New Roman"/>
          <w:b w:val="false"/>
          <w:i w:val="false"/>
          <w:color w:val="000000"/>
          <w:sz w:val="22"/>
        </w:rPr>
        <w:t>Each licensee shall provide reasonable, adequately furnished office space, including utilities, direct long-distance access for voice and data lines, custodial services, and necessary office equipment, and, if applicable, work space on the boat for the exclusive use of the commission employees and officials. The licensee shall also make available appropriate parking places for commission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Sanitary facilities for patrons. </w:t>
      </w:r>
      <w:r>
        <w:rPr>
          <w:rFonts w:ascii="Times New Roman" w:hAnsi="Times New Roman"/>
          <w:b w:val="false"/>
          <w:i w:val="false"/>
          <w:color w:val="000000"/>
          <w:sz w:val="22"/>
        </w:rPr>
        <w:t>Each licensee shall, on every day of operation, provide adequate and sanitary toilets and washrooms and furnish free drinking water for patrons and persons having business on the licensee’s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5.4(4)</w:t>
      </w:r>
      <w:r>
        <w:rPr>
          <w:rFonts w:ascii="Times New Roman" w:hAnsi="Times New Roman"/>
          <w:b w:val="false"/>
          <w:i w:val="false"/>
          <w:color w:val="000000"/>
          <w:sz w:val="22"/>
        </w:rPr>
        <w:t> </w:t>
      </w:r>
      <w:r>
        <w:rPr>
          <w:rFonts w:ascii="Times New Roman" w:hAnsi="Times New Roman"/>
          <w:b w:val="false"/>
          <w:i/>
          <w:color w:val="000000"/>
          <w:sz w:val="22"/>
        </w:rPr>
        <w:t xml:space="preserve">First-aid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all hours of operation, each licensee shall equip and maintain adequate first-aid facilities and have, at a minimum, one employee trained in CPR, first aid, and the use of the automated external defibrillator (AED). During live racing at horse racetracks and while excursion gambling boats are cruising, the licensee shall have present either a physician, a physician assistant, a registered nurse, a licensed practical nurse, a paramedic, or an emergency medical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specified under paragraph </w:t>
      </w:r>
      <w:hyperlink r:id="rId11">
        <w:r>
          <w:rPr>
            <w:rStyle w:val="Hyperlink"/>
            <w:rFonts w:ascii="Times New Roman" w:hAnsi="Times New Roman"/>
            <w:b w:val="false"/>
            <w:i w:val="false"/>
            <w:color w:val="000000"/>
            <w:sz w:val="22"/>
          </w:rPr>
          <w:t>5.4(4)</w:t>
        </w:r>
        <w:r>
          <w:rPr>
            <w:rFonts w:ascii="Times New Roman" w:hAnsi="Times New Roman"/>
            <w:b w:val="false"/>
            <w:i/>
            <w:color w:val="000000"/>
            <w:sz w:val="22"/>
          </w:rPr>
          <w:t>“a”</w:t>
        </w:r>
      </w:hyperlink>
      <w:r>
        <w:rPr>
          <w:rFonts w:ascii="Times New Roman" w:hAnsi="Times New Roman"/>
          <w:b w:val="false"/>
          <w:i w:val="false"/>
          <w:color w:val="000000"/>
          <w:sz w:val="22"/>
        </w:rPr>
        <w:t xml:space="preserve"> must be currently licensed or certified, including active status, in accordance with the requirements of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licensee is required to have a properly functioning and readily accessible AED at the licensee’s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5.4(5)</w:t>
      </w:r>
      <w:r>
        <w:rPr>
          <w:rFonts w:ascii="Times New Roman" w:hAnsi="Times New Roman"/>
          <w:b w:val="false"/>
          <w:i w:val="false"/>
          <w:color w:val="000000"/>
          <w:sz w:val="22"/>
        </w:rPr>
        <w:t> </w:t>
      </w:r>
      <w:r>
        <w:rPr>
          <w:rFonts w:ascii="Times New Roman" w:hAnsi="Times New Roman"/>
          <w:b w:val="false"/>
          <w:i/>
          <w:color w:val="000000"/>
          <w:sz w:val="22"/>
        </w:rPr>
        <w:t xml:space="preserve">Security 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Peace officer. </w:t>
      </w:r>
      <w:r>
        <w:rPr>
          <w:rFonts w:ascii="Times New Roman" w:hAnsi="Times New Roman"/>
          <w:b w:val="false"/>
          <w:i w:val="false"/>
          <w:color w:val="000000"/>
          <w:sz w:val="22"/>
        </w:rPr>
        <w:t>Each licensee shall ensure that a person who is a certified peace officer is present as outlined in the facility’s security plan approved by the commission. A certified peace officer pursuant to this rule must be employed by a law enforcement agency and have police powers.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 adequate security. </w:t>
      </w:r>
      <w:r>
        <w:rPr>
          <w:rFonts w:ascii="Times New Roman" w:hAnsi="Times New Roman"/>
          <w:b w:val="false"/>
          <w:i w:val="false"/>
          <w:color w:val="000000"/>
          <w:sz w:val="22"/>
        </w:rPr>
        <w:t xml:space="preserve">Each licensee shall employ sufficient security to remove from the licensed premises a person violating a provision of Iowa Code chapter </w:t>
      </w:r>
      <w:hyperlink r:id="rId1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commission rules, or orders; any person deemed to be undesirable by racing and gaming commission officials; or any person engaging in a fraudulent practice. Security shall also be provided in and about the premises to secure restricted areas including, but not limited to, the barn area, kennel area, paddock, and racing animal drug testing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Incident reports. </w:t>
      </w:r>
      <w:r>
        <w:rPr>
          <w:rFonts w:ascii="Times New Roman" w:hAnsi="Times New Roman"/>
          <w:b w:val="false"/>
          <w:i w:val="false"/>
          <w:color w:val="000000"/>
          <w:sz w:val="22"/>
        </w:rPr>
        <w:t xml:space="preserve">The licensee shall be required to file a written report, within 72 hours, detailing any incident in which an employee or patron is detected violating a provision of Iowa Code chapter </w:t>
      </w:r>
      <w:hyperlink r:id="rId1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 commission rule or order, or internal controls; or is removed for reasons specified under paragraph </w:t>
      </w:r>
      <w:hyperlink r:id="rId16">
        <w:r>
          <w:rPr>
            <w:rStyle w:val="Hyperlink"/>
            <w:rFonts w:ascii="Times New Roman" w:hAnsi="Times New Roman"/>
            <w:b w:val="false"/>
            <w:i w:val="false"/>
            <w:color w:val="000000"/>
            <w:sz w:val="22"/>
          </w:rPr>
          <w:t>5.4(5)</w:t>
        </w:r>
        <w:r>
          <w:rPr>
            <w:rFonts w:ascii="Times New Roman" w:hAnsi="Times New Roman"/>
            <w:b w:val="false"/>
            <w:i/>
            <w:color w:val="000000"/>
            <w:sz w:val="22"/>
          </w:rPr>
          <w:t>“b.”</w:t>
        </w:r>
      </w:hyperlink>
      <w:r>
        <w:rPr>
          <w:rFonts w:ascii="Times New Roman" w:hAnsi="Times New Roman"/>
          <w:b w:val="false"/>
          <w:i w:val="false"/>
          <w:color w:val="000000"/>
          <w:sz w:val="22"/>
        </w:rPr>
        <w:t xml:space="preserve"> In addition to the written report, the licensee shall provide immediate notification to the commission and DCI representatives on duty or, if representatives are not on duty, provide notification in a manner previously agreed upon by the representatives if the incident involved employee theft, criminal activity, Iowa Code chapter </w:t>
      </w:r>
      <w:hyperlink r:id="rId1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violations, or gaming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Ejection or exclusion. </w:t>
      </w:r>
      <w:r>
        <w:rPr>
          <w:rFonts w:ascii="Times New Roman" w:hAnsi="Times New Roman"/>
          <w:b w:val="false"/>
          <w:i w:val="false"/>
          <w:color w:val="000000"/>
          <w:sz w:val="22"/>
        </w:rPr>
        <w:t>A licensee may eject or exclude any person, licensed or unlicensed, from the premises or a part thereof of the licensee’s facility, solely of the licensee’s own volition and without any reason or excuse given, provided ejection or exclusion is not founded on constitutionally protected grounds such as race, creed, color, disability, or national origin.</w:t>
      </w:r>
    </w:p>
    <w:p>
      <w:pPr>
        <w:spacing w:before="0" w:after="0"/>
        <w:ind w:left="120"/>
        <w:jc w:val="both"/>
      </w:pPr>
      <w:r>
        <w:rPr>
          <w:rFonts w:ascii="Times New Roman" w:hAnsi="Times New Roman"/>
          <w:b w:val="false"/>
          <w:i w:val="false"/>
          <w:color w:val="000000"/>
          <w:sz w:val="22"/>
        </w:rPr>
        <w:t>Reports of all ejections or exclusions for any reason, other than voluntary exclusions, shall be made promptly to the commission representative and DCI and shall state the circumstances. The name of the person must be reported when the person is ejected or excluded for more than one gaming day.</w:t>
      </w:r>
    </w:p>
    <w:p>
      <w:pPr>
        <w:spacing w:before="0" w:after="0"/>
        <w:ind w:left="120"/>
        <w:jc w:val="both"/>
      </w:pPr>
      <w:r>
        <w:rPr>
          <w:rFonts w:ascii="Times New Roman" w:hAnsi="Times New Roman"/>
          <w:b w:val="false"/>
          <w:i w:val="false"/>
          <w:color w:val="000000"/>
          <w:sz w:val="22"/>
        </w:rPr>
        <w:t>The commission may exclude any person ejected by a licensee from any or all pari-mutuel facilities, gambling structures, or excursion gambling boats controlled by any licensee upon a finding that attendance of the person would be adverse to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5.4(6)</w:t>
      </w:r>
      <w:r>
        <w:rPr>
          <w:rFonts w:ascii="Times New Roman" w:hAnsi="Times New Roman"/>
          <w:b w:val="false"/>
          <w:i w:val="false"/>
          <w:color w:val="000000"/>
          <w:sz w:val="22"/>
        </w:rPr>
        <w:t> </w:t>
      </w:r>
      <w:r>
        <w:rPr>
          <w:rFonts w:ascii="Times New Roman" w:hAnsi="Times New Roman"/>
          <w:b w:val="false"/>
          <w:i/>
          <w:color w:val="000000"/>
          <w:sz w:val="22"/>
        </w:rPr>
        <w:t xml:space="preserve">Firearms possession within licensed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patron or employee of the licensee, including the security department members, shall possess or be permitted to possess any pistol or firearm within a licensed facility without the express written approval of the administrator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is a peace officer, on duty, acting in the peace officer’s official capacity;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is a peace officer possessing a valid peace officer permit to carry weapons who is employed by the licensee and who is authorized by the administrator to possess such pistol or firearm while acting on behalf of the licensee within that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shall post in a conspicuous location at each entrance a sign that may be easily read stating, “Possession of any firearm within the licensed facility without the express written permission of the Iowa racing and gaming commission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5.4(7)</w:t>
      </w:r>
      <w:r>
        <w:rPr>
          <w:rFonts w:ascii="Times New Roman" w:hAnsi="Times New Roman"/>
          <w:b w:val="false"/>
          <w:i w:val="false"/>
          <w:color w:val="000000"/>
          <w:sz w:val="22"/>
        </w:rPr>
        <w:t> </w:t>
      </w:r>
      <w:r>
        <w:rPr>
          <w:rFonts w:ascii="Times New Roman" w:hAnsi="Times New Roman"/>
          <w:b w:val="false"/>
          <w:i/>
          <w:color w:val="000000"/>
          <w:sz w:val="22"/>
        </w:rPr>
        <w:t xml:space="preserve">Video recording. </w:t>
      </w:r>
      <w:r>
        <w:rPr>
          <w:rFonts w:ascii="Times New Roman" w:hAnsi="Times New Roman"/>
          <w:b w:val="false"/>
          <w:i w:val="false"/>
          <w:color w:val="000000"/>
          <w:sz w:val="22"/>
        </w:rPr>
        <w:t xml:space="preserve">Licensees shall conduct continuous surveillance with the capability of video recording all on-site gambling activities under Iowa administrative rules </w:t>
      </w:r>
      <w:hyperlink r:id="rId19">
        <w:r>
          <w:rPr>
            <w:rStyle w:val="Hyperlink"/>
            <w:rFonts w:ascii="Times New Roman" w:hAnsi="Times New Roman"/>
            <w:b w:val="false"/>
            <w:i w:val="false"/>
            <w:color w:val="000000"/>
            <w:sz w:val="22"/>
          </w:rPr>
          <w:t>661—Chapter 141</w:t>
        </w:r>
      </w:hyperlink>
      <w:r>
        <w:rPr>
          <w:rFonts w:ascii="Times New Roman" w:hAnsi="Times New Roman"/>
          <w:b w:val="false"/>
          <w:i w:val="false"/>
          <w:color w:val="000000"/>
          <w:sz w:val="22"/>
        </w:rPr>
        <w:t>, promulgated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“Gambling activities” means participating in any form of wagering as defined by Iowa Code chapter </w:t>
      </w:r>
      <w:hyperlink r:id="rId2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and approved by the commission; the movement, storage, and handling of uncounted gambling revenues; manual exchange of moneys for forms of wagering credit on the gaming floor; entrance of the public onto the gaming floor; and any other activity as determined by the commission administrator or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Commission and DCI representatives shall have unrestricted access to and use of, including independent access capabilities, both live and recorded views and images of the surveillance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commission representative may allow a gambling game to be placed in operation pending approval under </w:t>
      </w:r>
      <w:hyperlink r:id="rId21">
        <w:r>
          <w:rPr>
            <w:rStyle w:val="Hyperlink"/>
            <w:rFonts w:ascii="Times New Roman" w:hAnsi="Times New Roman"/>
            <w:b w:val="false"/>
            <w:i w:val="false"/>
            <w:color w:val="000000"/>
            <w:sz w:val="22"/>
          </w:rPr>
          <w:t>661—Chapter 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facility may include capabilities within the surveillance system for video recording of other areas of a facility and grounds, provided that commission and DCI access is unrestricted.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5.4(8)</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of contracts and business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Qualifying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contracts and business arrangements entered into by a facility are subject to commission jurisdiction. Written and verbal contracts and business arrangements involving a related party or in which the term exceeds three years or the total value in a calendar year exceeds $100,000 regardless of payment method are agreements that qualify for submission to and approval by the commission. Contracts and business arrangements with entities licensed pursuant to rule </w:t>
      </w:r>
      <w:hyperlink r:id="rId22">
        <w:r>
          <w:rPr>
            <w:rStyle w:val="Hyperlink"/>
            <w:rFonts w:ascii="Times New Roman" w:hAnsi="Times New Roman"/>
            <w:b w:val="false"/>
            <w:i w:val="false"/>
            <w:color w:val="000000"/>
            <w:sz w:val="22"/>
          </w:rPr>
          <w:t>491—11.13</w:t>
        </w:r>
      </w:hyperlink>
      <w:r>
        <w:rPr>
          <w:rFonts w:ascii="Times New Roman" w:hAnsi="Times New Roman"/>
          <w:b w:val="false"/>
          <w:i w:val="false"/>
          <w:color w:val="000000"/>
          <w:sz w:val="22"/>
        </w:rPr>
        <w:t xml:space="preserve">(99F) to obtain gambling games and implements of gambling, as defined by rule </w:t>
      </w:r>
      <w:hyperlink r:id="rId23">
        <w:r>
          <w:rPr>
            <w:rStyle w:val="Hyperlink"/>
            <w:rFonts w:ascii="Times New Roman" w:hAnsi="Times New Roman"/>
            <w:b w:val="false"/>
            <w:i w:val="false"/>
            <w:color w:val="000000"/>
            <w:sz w:val="22"/>
          </w:rPr>
          <w:t>491—11.1</w:t>
        </w:r>
      </w:hyperlink>
      <w:r>
        <w:rPr>
          <w:rFonts w:ascii="Times New Roman" w:hAnsi="Times New Roman"/>
          <w:b w:val="false"/>
          <w:i w:val="false"/>
          <w:color w:val="000000"/>
          <w:sz w:val="22"/>
        </w:rPr>
        <w:t>(99F), are exempt from submission to and approval by the commission. For the purpose of this subrule, a qualifying agreement shall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obligation that expends, encumbers, or loans facility assets to anyone other than a not-for-profit entity, a unit of government for the payment of taxes, or an entity that provides water, sewer, gas or electric utility services to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disposal of facility assets or provision of goods and services at less than market value to anyone other than a not-for-profit entity or a unit of government.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previously approved qualifying agreement, if consideration exceeds the approved amount in a calendar year by the greater of $100,000 or 25 percent or if the commission approval date of an ongoing contract is more than five years old.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type of contract, regardless of value or term, where a third party provides electronic or mechanical access to cash or credit for a patron of the facility. Where not already available, the contract must contain a clause that provides for immediate notification and implementation when technology becomes available to allow a person to voluntarily bar the person’s access to receive cash or credit from such devices located on the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debt transaction greater than $3 million entered into by a licensee or licensee’s parent company assigning an obligation to a licensee, except a debt transaction previously approved in subrule </w:t>
      </w:r>
      <w:hyperlink r:id="rId24">
        <w:r>
          <w:rPr>
            <w:rStyle w:val="Hyperlink"/>
            <w:rFonts w:ascii="Times New Roman" w:hAnsi="Times New Roman"/>
            <w:b w:val="false"/>
            <w:i w:val="false"/>
            <w:color w:val="000000"/>
            <w:sz w:val="22"/>
          </w:rPr>
          <w:t>5.4(20)</w:t>
        </w:r>
      </w:hyperlink>
      <w:r>
        <w:rPr>
          <w:rFonts w:ascii="Times New Roman" w:hAnsi="Times New Roman"/>
          <w:b w:val="false"/>
          <w:i w:val="false"/>
          <w:color w:val="000000"/>
          <w:sz w:val="22"/>
        </w:rPr>
        <w:t>, is subject to commission jurisdiction. The request for approval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names and addresses of all parties;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amount and source of funds;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nature and amount of security and collateral provided;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specific nature and purpose of the transaction;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term sheet or executive summary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qualifying agreement must be approved by the commission within 60 days of execution if made in Iowa pursuant to </w:t>
      </w:r>
      <w:hyperlink r:id="rId25">
        <w:r>
          <w:rPr>
            <w:rStyle w:val="Hyperlink"/>
            <w:rFonts w:ascii="Times New Roman" w:hAnsi="Times New Roman"/>
            <w:b w:val="false"/>
            <w:i w:val="false"/>
            <w:color w:val="000000"/>
            <w:sz w:val="22"/>
          </w:rPr>
          <w:t>subparagraph 5.4(8)</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or within 30 days of execution if not made in Iowa. Commission approval must be obtained prior to implementation, unless the qualifying agreement contains a written clause stating that the agreement is subject to commission approval and the qualifying agreement is submitted to commission staff prior to implementation. Qualifying agreements need only be submitted on initiation, unless there is a material change in terms or noncompliance with subparagraph </w:t>
      </w:r>
      <w:hyperlink r:id="rId26">
        <w:r>
          <w:rPr>
            <w:rStyle w:val="Hyperlink"/>
            <w:rFonts w:ascii="Times New Roman" w:hAnsi="Times New Roman"/>
            <w:b w:val="false"/>
            <w:i w:val="false"/>
            <w:color w:val="000000"/>
            <w:sz w:val="22"/>
          </w:rPr>
          <w:t>5.4(8)</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or to comply with numbered paragraph </w:t>
      </w:r>
      <w:hyperlink r:id="rId27">
        <w:r>
          <w:rPr>
            <w:rStyle w:val="Hyperlink"/>
            <w:rFonts w:ascii="Times New Roman" w:hAnsi="Times New Roman"/>
            <w:b w:val="false"/>
            <w:i w:val="false"/>
            <w:color w:val="000000"/>
            <w:sz w:val="22"/>
          </w:rPr>
          <w:t>5.4(8)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of review. </w:t>
      </w:r>
      <w:r>
        <w:rPr>
          <w:rFonts w:ascii="Times New Roman" w:hAnsi="Times New Roman"/>
          <w:b w:val="false"/>
          <w:i w:val="false"/>
          <w:color w:val="000000"/>
          <w:sz w:val="22"/>
        </w:rPr>
        <w:t>The commission conducts reviews to serve the public interest to ensure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Gaming is free from criminal and corruptive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Gaming-related funds are directed to the lawful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Gaming profits are not improperly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resources, goods and services are utilized. Resources, goods, and services shall be considered to be made in Iowa, be provided by Iowans, or emanate from Iowa if one or more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Goods are manufactured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Goods are distributed through a distributor located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Goods are sold by a retailer/wholesaler located in Iowa.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Resources are produced or processed in Iowa.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Services are provided by a vendor whose headquarters/home office is in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Goods, resources or services are provided by a vendor whose headquarters/home office is located outside Iowa, but which has a tangible business location (not simply a post office box) and does business in Iowa.</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Services beyond selling are provided by employees who are based in Iowa.</w:t>
      </w:r>
    </w:p>
    <w:p>
      <w:pPr>
        <w:spacing w:before="0" w:after="0"/>
        <w:ind w:left="120"/>
        <w:jc w:val="both"/>
      </w:pPr>
      <w:r>
        <w:rPr>
          <w:rFonts w:ascii="Times New Roman" w:hAnsi="Times New Roman"/>
          <w:b w:val="false"/>
          <w:i w:val="false"/>
          <w:color w:val="000000"/>
          <w:sz w:val="22"/>
        </w:rPr>
        <w:t xml:space="preserve">A facility shall be considered to have utilized a substantial amount of Iowa resources, goods, services and entertainment in compliance with Iowa Code sections </w:t>
      </w:r>
      <w:hyperlink r:id="rId28">
        <w:r>
          <w:rPr>
            <w:rStyle w:val="Hyperlink"/>
            <w:rFonts w:ascii="Times New Roman" w:hAnsi="Times New Roman"/>
            <w:b w:val="false"/>
            <w:i w:val="false"/>
            <w:color w:val="000000"/>
            <w:sz w:val="22"/>
          </w:rPr>
          <w:t>99D.9</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99F.7(5)</w:t>
        </w:r>
      </w:hyperlink>
      <w:r>
        <w:rPr>
          <w:rFonts w:ascii="Times New Roman" w:hAnsi="Times New Roman"/>
          <w:b w:val="false"/>
          <w:i w:val="false"/>
          <w:color w:val="000000"/>
          <w:sz w:val="22"/>
        </w:rPr>
        <w:t xml:space="preserve"> if the facility demonstrates to the satisfaction of the commission that preference was given to the extent allowed by law and other competitive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Related parties. </w:t>
      </w:r>
      <w:r>
        <w:rPr>
          <w:rFonts w:ascii="Times New Roman" w:hAnsi="Times New Roman"/>
          <w:b w:val="false"/>
          <w:i w:val="false"/>
          <w:color w:val="000000"/>
          <w:sz w:val="22"/>
        </w:rPr>
        <w:t>Other submittal requirements notwithstanding, agreements negotiated between the facility and a related party must be accompanied by an economic and qualitative justification. For the purpose of this subrule, related party shall mean any one of the following having any beneficial interest in any other party with whom the facility is seeking to negotiate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corporate officer or member of a facility’s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owner with more than a 5 percent interest in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of either the qualified sponsoring organization or the qualifying organization under Iowa Code section </w:t>
      </w:r>
      <w:hyperlink r:id="rId30">
        <w:r>
          <w:rPr>
            <w:rStyle w:val="Hyperlink"/>
            <w:rFonts w:ascii="Times New Roman" w:hAnsi="Times New Roman"/>
            <w:b w:val="false"/>
            <w:i w:val="false"/>
            <w:color w:val="000000"/>
            <w:sz w:val="22"/>
          </w:rPr>
          <w:t>99D.8</w:t>
        </w:r>
      </w:hyperlink>
      <w:r>
        <w:rPr>
          <w:rFonts w:ascii="Times New Roman" w:hAnsi="Times New Roman"/>
          <w:b w:val="false"/>
          <w:i w:val="false"/>
          <w:color w:val="000000"/>
          <w:sz w:val="22"/>
        </w:rPr>
        <w:t xml:space="preserve"> associated with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Review criteria. </w:t>
      </w:r>
      <w:r>
        <w:rPr>
          <w:rFonts w:ascii="Times New Roman" w:hAnsi="Times New Roman"/>
          <w:b w:val="false"/>
          <w:i w:val="false"/>
          <w:color w:val="000000"/>
          <w:sz w:val="22"/>
        </w:rPr>
        <w:t>The commission shall approve all qualifying agreements that, in the commission’s sole opinion, represent a normal business transaction and may impose conditions on an approval. The commission may deny approval of any agreement that, in the commission’s sole opinion, represents a distribution of profits that differs from commission-approved ownership and beneficial interest. This subrule does not prohibit the commission from changing the approved ownership or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5.4(9)</w:t>
      </w:r>
      <w:r>
        <w:rPr>
          <w:rFonts w:ascii="Times New Roman" w:hAnsi="Times New Roman"/>
          <w:b w:val="false"/>
          <w:i w:val="false"/>
          <w:color w:val="000000"/>
          <w:sz w:val="22"/>
        </w:rPr>
        <w:t> </w:t>
      </w:r>
      <w:r>
        <w:rPr>
          <w:rFonts w:ascii="Times New Roman" w:hAnsi="Times New Roman"/>
          <w:b w:val="false"/>
          <w:i/>
          <w:color w:val="000000"/>
          <w:sz w:val="22"/>
        </w:rPr>
        <w:t xml:space="preserve">Checks. </w:t>
      </w:r>
      <w:r>
        <w:rPr>
          <w:rFonts w:ascii="Times New Roman" w:hAnsi="Times New Roman"/>
          <w:b w:val="false"/>
          <w:i w:val="false"/>
          <w:color w:val="000000"/>
          <w:sz w:val="22"/>
        </w:rPr>
        <w:t>All checks accepted must be deposited in a bank by the close of the banking day following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5.4(10)</w:t>
      </w:r>
      <w:r>
        <w:rPr>
          <w:rFonts w:ascii="Times New Roman" w:hAnsi="Times New Roman"/>
          <w:b w:val="false"/>
          <w:i w:val="false"/>
          <w:color w:val="000000"/>
          <w:sz w:val="22"/>
        </w:rPr>
        <w:t> </w:t>
      </w:r>
      <w:r>
        <w:rPr>
          <w:rFonts w:ascii="Times New Roman" w:hAnsi="Times New Roman"/>
          <w:b w:val="false"/>
          <w:i/>
          <w:color w:val="000000"/>
          <w:sz w:val="22"/>
        </w:rPr>
        <w:t xml:space="preserve">Taxes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taxes and fees. </w:t>
      </w:r>
      <w:r>
        <w:rPr>
          <w:rFonts w:ascii="Times New Roman" w:hAnsi="Times New Roman"/>
          <w:b w:val="false"/>
          <w:i w:val="false"/>
          <w:color w:val="000000"/>
          <w:sz w:val="22"/>
        </w:rPr>
        <w:t xml:space="preserve">All taxes and fees, whose collection by the state is authorized under Iowa Code chapters </w:t>
      </w:r>
      <w:hyperlink r:id="rId3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shall be accounted for on a fiscal-year basis, each fiscal year beginning on July 1 and ending on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gambling game taxes and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moneys collected for and owed to the commission or state of Iowa under Iowa Code chapter </w:t>
      </w:r>
      <w:hyperlink r:id="rId33">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shall be accounted for and itemized on a weekly basis in a format approved by the commission. Each day on the report shall be an accurate representation of the gaming activities. A week shall begin on Monday and end on Sunday.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reporting form must be received in the commission office by noon on Wednesday following the week’s end. The moneys owed, according to the reporting form, must be received in the treasurer’s office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Thursday following the week’s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promotional play receipts. </w:t>
      </w:r>
      <w:r>
        <w:rPr>
          <w:rFonts w:ascii="Times New Roman" w:hAnsi="Times New Roman"/>
          <w:b w:val="false"/>
          <w:i w:val="false"/>
          <w:color w:val="000000"/>
          <w:sz w:val="22"/>
        </w:rPr>
        <w:t>For the purpose of calculating the amount of taxes from promotional play receipts during a fiscal year, the commission will consider promotional play receipts as taxed in proportion to total adjusted gross receipts for each gaming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Submission of sports wagering net receipts taxes.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is imposed on the sports wagering net receipts received each fiscal year from sports wagering. “Sports wagering net receipts” means the gross receipts less winnings paid to wagerers on sports wagering on a cash accounting basis. Voided and canceled transactions are not considered receipts for the purpose of this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moneys collected for and owed to the state of Iowa under Iowa Code chapter </w:t>
      </w:r>
      <w:hyperlink r:id="rId3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for the payment of sports wagering taxes shall be accounted for and itemized on a monthly basis, in a format approved by the commission, by noon on Wednesday following a gaming week’s end in which the completed gaming week includes the last day of the month. All sports wagering taxes owed shall be received in the treasurer’s office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Thursday after accounting and itemization is due in the commission office. If sports wagering net receipts for a month are negative, a credit for sports wagering taxes may be given in the subsequent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under Iowa Code section </w:t>
      </w:r>
      <w:hyperlink r:id="rId35">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are responsible for the payment of all sports wagering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Controls which easily allow for the designation and recording of sports wagering net receipts to an individual licensee and the redemption of winnings to the respective licensee shall be established by the licensee and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5.4(11)</w:t>
      </w:r>
      <w:r>
        <w:rPr>
          <w:rFonts w:ascii="Times New Roman" w:hAnsi="Times New Roman"/>
          <w:b w:val="false"/>
          <w:i w:val="false"/>
          <w:color w:val="000000"/>
          <w:sz w:val="22"/>
        </w:rPr>
        <w:t> </w:t>
      </w:r>
      <w:r>
        <w:rPr>
          <w:rFonts w:ascii="Times New Roman" w:hAnsi="Times New Roman"/>
          <w:b w:val="false"/>
          <w:i/>
          <w:color w:val="000000"/>
          <w:sz w:val="22"/>
        </w:rPr>
        <w:t xml:space="preserve">Rate of tax revenue. </w:t>
      </w:r>
      <w:r>
        <w:rPr>
          <w:rFonts w:ascii="Times New Roman" w:hAnsi="Times New Roman"/>
          <w:b w:val="false"/>
          <w:i w:val="false"/>
          <w:color w:val="000000"/>
          <w:sz w:val="22"/>
        </w:rPr>
        <w:t>Each licensee shall prominently display at the licensee’s gambling facility the annual percentage rate of state and local tax revenue collected by state and local government from the gambling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5.4(12)</w:t>
      </w:r>
      <w:r>
        <w:rPr>
          <w:rFonts w:ascii="Times New Roman" w:hAnsi="Times New Roman"/>
          <w:b w:val="false"/>
          <w:i w:val="false"/>
          <w:color w:val="000000"/>
          <w:sz w:val="22"/>
        </w:rPr>
        <w:t> </w:t>
      </w:r>
      <w:r>
        <w:rPr>
          <w:rFonts w:ascii="Times New Roman" w:hAnsi="Times New Roman"/>
          <w:b w:val="false"/>
          <w:i/>
          <w:color w:val="000000"/>
          <w:sz w:val="22"/>
        </w:rPr>
        <w:t xml:space="preserve">Problem gambling.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holder of a license to operate gambling games and the holder of a license to accept simulcast wagering shall adopt and implement policies and procedures designed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 problem gamblers;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process established by the commission to allow a person to be voluntarily excluded from the gaming floor of an excursion gambling boat, from the wagering area as defined in Iowa Code section </w:t>
      </w:r>
      <w:hyperlink r:id="rId37">
        <w:r>
          <w:rPr>
            <w:rStyle w:val="Hyperlink"/>
            <w:rFonts w:ascii="Times New Roman" w:hAnsi="Times New Roman"/>
            <w:b w:val="false"/>
            <w:i w:val="false"/>
            <w:color w:val="000000"/>
            <w:sz w:val="22"/>
          </w:rPr>
          <w:t>99D.2</w:t>
        </w:r>
      </w:hyperlink>
      <w:r>
        <w:rPr>
          <w:rFonts w:ascii="Times New Roman" w:hAnsi="Times New Roman"/>
          <w:b w:val="false"/>
          <w:i w:val="false"/>
          <w:color w:val="000000"/>
          <w:sz w:val="22"/>
        </w:rPr>
        <w:t xml:space="preserve">, from the sports wagering area as defined in Iowa Code section </w:t>
      </w:r>
      <w:hyperlink r:id="rId38">
        <w:r>
          <w:rPr>
            <w:rStyle w:val="Hyperlink"/>
            <w:rFonts w:ascii="Times New Roman" w:hAnsi="Times New Roman"/>
            <w:b w:val="false"/>
            <w:i w:val="false"/>
            <w:color w:val="000000"/>
            <w:sz w:val="22"/>
          </w:rPr>
          <w:t>99F.1(24)</w:t>
        </w:r>
      </w:hyperlink>
      <w:r>
        <w:rPr>
          <w:rFonts w:ascii="Times New Roman" w:hAnsi="Times New Roman"/>
          <w:b w:val="false"/>
          <w:i w:val="false"/>
          <w:color w:val="000000"/>
          <w:sz w:val="22"/>
        </w:rPr>
        <w:t xml:space="preserve">, and from the gaming floor of all other licensed facilities or gambling activities regulated under Iowa Code chapters </w:t>
      </w:r>
      <w:hyperlink r:id="rId39">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Allow persons to be voluntarily excluded for five years or life from all facilities on a form prescribed by the commission. Each facility will disseminate information regarding the exclusion to all other licensees and the commission;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Identify the availability of technology on a device that provides electronic or mechanical access to cash or credit for a patron of the facility that would allow for a person to voluntarily bar the person’s access to receive cash or credit from such devices located on the licensed premises and provide the process for a person to do so. Methods of identification shall be prominently displayed and be indicative of the availability of the process prior to a transaction taking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policies and procedures shall be developed in cooperation with the gambling treatment program and shall include without limitation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of key employees to identify and report suspected problem gamblers;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recording and tracking identified problem gamblers;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designed to prevent serving alcohol to intoxicated patrons on the gaming floor or wagering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Steps for removing problem gamblers from the gaming floor or wagering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Procedures for preventing reentry of problem gamblers;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to prominently display problem gambling materials produced by the Iowa gambling treatment program throughout the facility with at least one display located in a high-traffic area of patrons;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for a licensee’s website to include a link to the commission’s website for individuals to self-exclude themselves pursuant to Iowa Code sections </w:t>
      </w:r>
      <w:hyperlink r:id="rId41">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99D.7(23)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shall include information on the availability of the gambling treatment program in a substantial number of its advertisements and printed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forfeited by a voluntarily excluded person pursuant to Iowa Code sections </w:t>
      </w:r>
      <w:hyperlink r:id="rId43">
        <w:r>
          <w:rPr>
            <w:rStyle w:val="Hyperlink"/>
            <w:rFonts w:ascii="Times New Roman" w:hAnsi="Times New Roman"/>
            <w:b w:val="false"/>
            <w:i w:val="false"/>
            <w:color w:val="000000"/>
            <w:sz w:val="22"/>
          </w:rPr>
          <w:t>99D.7(23)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shall be withheld by the licensee and remitted to the general fund of the state by the licensee under Iowa Code chapters </w:t>
      </w:r>
      <w:hyperlink r:id="rId4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5.4(13)</w:t>
      </w:r>
      <w:r>
        <w:rPr>
          <w:rFonts w:ascii="Times New Roman" w:hAnsi="Times New Roman"/>
          <w:b w:val="false"/>
          <w:i w:val="false"/>
          <w:color w:val="000000"/>
          <w:sz w:val="22"/>
        </w:rPr>
        <w:t> </w:t>
      </w:r>
      <w:r>
        <w:rPr>
          <w:rFonts w:ascii="Times New Roman" w:hAnsi="Times New Roman"/>
          <w:b w:val="false"/>
          <w:i/>
          <w:color w:val="000000"/>
          <w:sz w:val="22"/>
        </w:rPr>
        <w:t xml:space="preserve">Records regarding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other records and information required by these rules, each licensee shall maintain the following records regarding the equity structure and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corporation: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certified copy of articles of incorporation and any amendments thereto.</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copy of bylaws and amendments thereto.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current list of officers and directors.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Minutes of all meetings of stockholders and directors.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current list of all stockholders and stockholders of affiliates, including their names and the names of beneficial shareholders.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complete record of all transfers of stock.</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record of amounts paid to the corporation for issuance of stock and other capital contributions and dates thereof.</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record, by stockholder, of all dividends distributed by the corporation.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record of all salaries, wages, and other remuneration (including perquisites), direct and indirect, paid by the corporation during the calendar or fiscal year to all officers, directors, and stockholders with an ownership interest at any time during the calendar or fiscal year, equal to or greater than 5 percent of the outstanding stock of any class of 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partnership: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schedule showing the amounts and dates of capital contributions, the names and addresses of the contributors, and percentage of interest in net assets, profits, and losses held by each.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the withdrawals of partnership funds or assets.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record of salaries, wages, and other remuneration (including perquisites), direct and indirect, paid to each partner during the calendar or fiscal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copy of the partnership agreement and certificate of limited partnership,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sole proprietorship:</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schedule showing the name and address of the proprietor and the amount and date of the original investment.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dates and amounts of subsequent additions to the original investment and withdrawals therefrom.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record of salaries, wages, and other remuneration (including perquisites), direct or indirect, paid to the proprietor during the calendar or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records regarding ownership shall be located in a place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licensee is publicly held, upon the request of the administrator, the licensee shall submit to the commission one copy of any report required to be filed by such licensee or affiliates with the Securities and Exchange Commission or other domestic or foreign securities regulatory agency. If the licensee is privately held, upon the request of the administrator, the licensee shall submit financial, ownership, or other entity records for an affiliate.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5.4(14)</w:t>
      </w:r>
      <w:r>
        <w:rPr>
          <w:rFonts w:ascii="Times New Roman" w:hAnsi="Times New Roman"/>
          <w:b w:val="false"/>
          <w:i w:val="false"/>
          <w:color w:val="000000"/>
          <w:sz w:val="22"/>
        </w:rPr>
        <w:t> </w:t>
      </w:r>
      <w:r>
        <w:rPr>
          <w:rFonts w:ascii="Times New Roman" w:hAnsi="Times New Roman"/>
          <w:b w:val="false"/>
          <w:i/>
          <w:color w:val="000000"/>
          <w:sz w:val="22"/>
        </w:rPr>
        <w:t xml:space="preserve">Retention, storage, and destruction of books, records, and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all original books, records, and documents pertaining to the licensee’s operations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Prepared and maintained in a complete and accurate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Retained at a site approved by the administrator until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Held immediately available for inspection by the commission during business hours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Organized and indexed in such a manner as to provide immediate accessibility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 of this subrule, “books, records, and documents” shall be defined as any book, record, or document pertaining to or prepared or generated by the licensee including, but not limited to, all forms, reports, accounting records, ledgers, subsidiary records, computer-generated data, internal audit records, correspondence, contracts, and personnel records, including information concerning a refusal to submit to drug testing and test results conducted pursuant to Iowa Code section </w:t>
      </w:r>
      <w:hyperlink r:id="rId47">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original books, records, and documents may be copied and stored on microfilm, microfiche, or other suitable media system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original book, record, document, or suitable media copy may be destroyed by a licensee, for three years, without the prior approval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Any licensee that offers electronic wagering accounts, as defined by rule </w:t>
      </w:r>
      <w:hyperlink r:id="rId48">
        <w:r>
          <w:rPr>
            <w:rStyle w:val="Hyperlink"/>
            <w:rFonts w:ascii="Times New Roman" w:hAnsi="Times New Roman"/>
            <w:b w:val="false"/>
            <w:i w:val="false"/>
            <w:color w:val="000000"/>
            <w:sz w:val="22"/>
          </w:rPr>
          <w:t>491—12.1</w:t>
        </w:r>
      </w:hyperlink>
      <w:r>
        <w:rPr>
          <w:rFonts w:ascii="Times New Roman" w:hAnsi="Times New Roman"/>
          <w:b w:val="false"/>
          <w:i w:val="false"/>
          <w:color w:val="000000"/>
          <w:sz w:val="22"/>
        </w:rPr>
        <w:t xml:space="preserve">(99F), must prepare a disaster recovery plan that addresses off-site backups or equivalent. All disaster recovery plans shall incorporate industry standards for retention and storage of wagering account information and shall be subject to review as part of the network security risk assessment required by </w:t>
      </w:r>
      <w:hyperlink r:id="rId49">
        <w:r>
          <w:rPr>
            <w:rStyle w:val="Hyperlink"/>
            <w:rFonts w:ascii="Times New Roman" w:hAnsi="Times New Roman"/>
            <w:b w:val="false"/>
            <w:i w:val="false"/>
            <w:color w:val="000000"/>
            <w:sz w:val="22"/>
          </w:rPr>
          <w:t>subrule 5.4(21)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5.4(15)</w:t>
      </w:r>
      <w:r>
        <w:rPr>
          <w:rFonts w:ascii="Times New Roman" w:hAnsi="Times New Roman"/>
          <w:b w:val="false"/>
          <w:i w:val="false"/>
          <w:color w:val="000000"/>
          <w:sz w:val="22"/>
        </w:rPr>
        <w:t> </w:t>
      </w:r>
      <w:r>
        <w:rPr>
          <w:rFonts w:ascii="Times New Roman" w:hAnsi="Times New Roman"/>
          <w:b w:val="false"/>
          <w:i/>
          <w:color w:val="000000"/>
          <w:sz w:val="22"/>
        </w:rPr>
        <w:t xml:space="preserve">Remodeling. </w:t>
      </w:r>
      <w:r>
        <w:rPr>
          <w:rFonts w:ascii="Times New Roman" w:hAnsi="Times New Roman"/>
          <w:b w:val="false"/>
          <w:i w:val="false"/>
          <w:color w:val="000000"/>
          <w:sz w:val="22"/>
        </w:rPr>
        <w:t>For any construction that changes the specific function of a public space of the facility, the licensee must first submit plans to and receive the approval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5.4(16)</w:t>
      </w:r>
      <w:r>
        <w:rPr>
          <w:rFonts w:ascii="Times New Roman" w:hAnsi="Times New Roman"/>
          <w:b w:val="false"/>
          <w:i w:val="false"/>
          <w:color w:val="000000"/>
          <w:sz w:val="22"/>
        </w:rPr>
        <w:t> </w:t>
      </w:r>
      <w:r>
        <w:rPr>
          <w:rFonts w:ascii="Times New Roman" w:hAnsi="Times New Roman"/>
          <w:b w:val="false"/>
          <w:i/>
          <w:color w:val="000000"/>
          <w:sz w:val="22"/>
        </w:rPr>
        <w:t xml:space="preserve">Officers, agents, and employees. </w:t>
      </w:r>
      <w:r>
        <w:rPr>
          <w:rFonts w:ascii="Times New Roman" w:hAnsi="Times New Roman"/>
          <w:b w:val="false"/>
          <w:i w:val="false"/>
          <w:color w:val="000000"/>
          <w:sz w:val="22"/>
        </w:rPr>
        <w:t>Licensees are accountable for the conduct of their officers, agents, and employees. The commission or commission representative reserves the right to impose penalties against the license holder or its officer, agent, employee, or both as the commission or commission representative determines appropriate. In addition, the licensee shall be responsible for the conduct of nonlicensed employees and other persons working on behalf of the licensee in public and nonpublic areas of the excursion gambling boat, gambling structure, or racetrack enclosure.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5.4(17)</w:t>
      </w:r>
      <w:r>
        <w:rPr>
          <w:rFonts w:ascii="Times New Roman" w:hAnsi="Times New Roman"/>
          <w:b w:val="false"/>
          <w:i w:val="false"/>
          <w:color w:val="000000"/>
          <w:sz w:val="22"/>
        </w:rPr>
        <w:t> </w:t>
      </w:r>
      <w:r>
        <w:rPr>
          <w:rFonts w:ascii="Times New Roman" w:hAnsi="Times New Roman"/>
          <w:b w:val="false"/>
          <w:i/>
          <w:color w:val="000000"/>
          <w:sz w:val="22"/>
        </w:rPr>
        <w:t xml:space="preserve">Designated gaming floor. </w:t>
      </w:r>
      <w:r>
        <w:rPr>
          <w:rFonts w:ascii="Times New Roman" w:hAnsi="Times New Roman"/>
          <w:b w:val="false"/>
          <w:i w:val="false"/>
          <w:color w:val="000000"/>
          <w:sz w:val="22"/>
        </w:rPr>
        <w:t>The designated gaming floor is all areas occupied by or accessible from a gambling game, not otherwise obstructed by a wall, door, partition, barrier, or patron entrance. A patron entrance shall be identified by a sign visible to patrons approaching the gaming floor. The sign shall denote entrance to the gaming floor and specify that the gaming floor is not accessible to persons under the age of 21. A floor plan identifying the area shall be filed with the administrator for review and approval. Modification to a previously approved plan must be submitted for approval at least ten days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5.4(18)</w:t>
      </w:r>
      <w:r>
        <w:rPr>
          <w:rFonts w:ascii="Times New Roman" w:hAnsi="Times New Roman"/>
          <w:b w:val="false"/>
          <w:i w:val="false"/>
          <w:color w:val="000000"/>
          <w:sz w:val="22"/>
        </w:rPr>
        <w:t> </w:t>
      </w:r>
      <w:r>
        <w:rPr>
          <w:rFonts w:ascii="Times New Roman" w:hAnsi="Times New Roman"/>
          <w:b w:val="false"/>
          <w:i/>
          <w:color w:val="000000"/>
          <w:sz w:val="22"/>
        </w:rPr>
        <w:t xml:space="preserve">State fire and building codes.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Barges, as defined in </w:t>
      </w:r>
      <w:hyperlink r:id="rId50">
        <w:r>
          <w:rPr>
            <w:rStyle w:val="Hyperlink"/>
            <w:rFonts w:ascii="Times New Roman" w:hAnsi="Times New Roman"/>
            <w:b w:val="false"/>
            <w:i w:val="false"/>
            <w:color w:val="000000"/>
            <w:sz w:val="22"/>
          </w:rPr>
          <w:t>5.6(1)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other land-based gaming facilities and such facilities that undergo major renovation shall comply with the state building code created by Iowa Code chapter </w:t>
      </w:r>
      <w:hyperlink r:id="rId51">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if there is no local building code in force in the local jurisdiction in which the facility is located. A licensee shall submit construction documents and plans to the state building code commissioner and receive approval prior to construction, if a facility is subject to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is no enforcement of fire safety requirements by a local fire department, a licensee shall also submit construction plans and documents to the state fire marshal and receive approval prior to construction. The fire marshal may cause a facility subject to this paragraph to be inspected for compliance with fire marshal rules prior to operation of the facility and shall notify the commission and the licensee of the results of any such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proposed new or renovated facility is subject to both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single submission of construction plans and documents to the building code commissioner, with a cover letter stating that review and approval are required with respect to both the state building code and rules of the fire marshal, is sufficient to meet both requirements. Facilities subject to both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shall have received approval from both the fire marshal and the building code commissioner prior to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5.4(19)</w:t>
      </w:r>
      <w:r>
        <w:rPr>
          <w:rFonts w:ascii="Times New Roman" w:hAnsi="Times New Roman"/>
          <w:b w:val="false"/>
          <w:i w:val="false"/>
          <w:color w:val="000000"/>
          <w:sz w:val="22"/>
        </w:rPr>
        <w:t> </w:t>
      </w:r>
      <w:r>
        <w:rPr>
          <w:rFonts w:ascii="Times New Roman" w:hAnsi="Times New Roman"/>
          <w:b w:val="false"/>
          <w:i/>
          <w:color w:val="000000"/>
          <w:sz w:val="22"/>
        </w:rPr>
        <w:t xml:space="preserve">Gambling setoff. </w:t>
      </w:r>
      <w:r>
        <w:rPr>
          <w:rFonts w:ascii="Times New Roman" w:hAnsi="Times New Roman"/>
          <w:b w:val="false"/>
          <w:i w:val="false"/>
          <w:color w:val="000000"/>
          <w:sz w:val="22"/>
        </w:rPr>
        <w:t xml:space="preserve">Each licensee shall adopt and implement policies and procedures designed to set off winnings of patrons who have a valid lien established under Iowa Code chapters </w:t>
      </w:r>
      <w:hyperlink r:id="rId5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5.4(20)</w:t>
      </w:r>
      <w:r>
        <w:rPr>
          <w:rFonts w:ascii="Times New Roman" w:hAnsi="Times New Roman"/>
          <w:b w:val="false"/>
          <w:i w:val="false"/>
          <w:color w:val="000000"/>
          <w:sz w:val="22"/>
        </w:rPr>
        <w:t> </w:t>
      </w:r>
      <w:r>
        <w:rPr>
          <w:rFonts w:ascii="Times New Roman" w:hAnsi="Times New Roman"/>
          <w:b w:val="false"/>
          <w:i/>
          <w:color w:val="000000"/>
          <w:sz w:val="22"/>
        </w:rPr>
        <w:t xml:space="preserve">Shelf application for debt.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may grant approval of a shelf application for a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whose parent company has issued publicly traded debt or publicly traded securities may apply to the commission for a shelf approval of debt transactions if the parent company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class of securities listed on the New York Stock Exchange, the American Stock Exchange or the National Association of Securities Dealers Automatic Quotation System (NASDAQ) or has stockholders’ equity in the amount of $15 million or more as reported in the parent company’s most recent report on Form 10-K or Form 10-Q filed with the Securities and Exchange Commission (SEC) immediately preceding application;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Filed all reports required by the SEC.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in writing and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Proof of qualification to make the application in accordance with the criteria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amount of debt sought to be approved and the intended use of potential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Duration sought for the shelf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Financing rate sought during shelf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Evidence of signature by authorized representative of the licensee under oath.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supplemental documentation requested by the commission or commission representative following the initial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Once an application is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notify the commission representative of all debt transactions within ten days of consummation, including subsequent amendments and modifications of debt transactions, and provide executed copies of the documents evidencing the transactions as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may rescind a shelf approval without prior written notice. The rescission shall be in writing and set forth the reasons for the rescission and shall remain in effect until lifted by the commission upon the satisfaction of any such terms and conditions as required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5.4(21)</w:t>
      </w:r>
      <w:r>
        <w:rPr>
          <w:rFonts w:ascii="Times New Roman" w:hAnsi="Times New Roman"/>
          <w:b w:val="false"/>
          <w:i w:val="false"/>
          <w:color w:val="000000"/>
          <w:sz w:val="22"/>
        </w:rPr>
        <w:t> </w:t>
      </w:r>
      <w:r>
        <w:rPr>
          <w:rFonts w:ascii="Times New Roman" w:hAnsi="Times New Roman"/>
          <w:b w:val="false"/>
          <w:i/>
          <w:color w:val="000000"/>
          <w:sz w:val="22"/>
        </w:rPr>
        <w:t xml:space="preserve">Network security.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biennially submit the results of an independent network security risk assessment to the administrator for review, subject to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network security risk assessment shall be completed no later than March 31 in each year an assessment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network security risk assessment shall be submitted to the administrator no later than 60 days after the assessment is completed.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licensees issued a license to conduct sports wagering pursuant to Iowa Code section </w:t>
      </w:r>
      <w:hyperlink r:id="rId54">
        <w:r>
          <w:rPr>
            <w:rStyle w:val="Hyperlink"/>
            <w:rFonts w:ascii="Times New Roman" w:hAnsi="Times New Roman"/>
            <w:b w:val="false"/>
            <w:i w:val="false"/>
            <w:color w:val="000000"/>
            <w:sz w:val="22"/>
          </w:rPr>
          <w:t>99F.7A</w:t>
        </w:r>
      </w:hyperlink>
      <w:r>
        <w:rPr>
          <w:rFonts w:ascii="Times New Roman" w:hAnsi="Times New Roman"/>
          <w:b w:val="false"/>
          <w:i w:val="false"/>
          <w:color w:val="000000"/>
          <w:sz w:val="22"/>
        </w:rPr>
        <w:t xml:space="preserve">, a risk assessment required by this subrule shall include any on-premises sports wagering authorized by the commission at that licensee’s place of business. A supplemental risk assessment for the sports wagering operations may be accepted in lieu of inclusion with the assessment of the licensee’s overall operations, at the discretion of the administrator, and providing that the supplemental assessment independently complies with the requirements in </w:t>
      </w:r>
      <w:hyperlink r:id="rId55">
        <w:r>
          <w:rPr>
            <w:rStyle w:val="Hyperlink"/>
            <w:rFonts w:ascii="Times New Roman" w:hAnsi="Times New Roman"/>
            <w:b w:val="false"/>
            <w:i w:val="false"/>
            <w:color w:val="000000"/>
            <w:sz w:val="22"/>
          </w:rPr>
          <w:t>subparagraphs 5.4(21)</w:t>
        </w:r>
        <w:r>
          <w:rPr>
            <w:rFonts w:ascii="Times New Roman" w:hAnsi="Times New Roman"/>
            <w:b w:val="false"/>
            <w:i/>
            <w:color w:val="000000"/>
            <w:sz w:val="22"/>
          </w:rPr>
          <w:t>“a”</w:t>
        </w:r>
        <w:r>
          <w:rPr>
            <w:rFonts w:ascii="Times New Roman" w:hAnsi="Times New Roman"/>
            <w:b w:val="false"/>
            <w:i w:val="false"/>
            <w:color w:val="000000"/>
            <w:sz w:val="22"/>
          </w:rPr>
          <w:t>(1) to (5)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network security risk assessments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5.4(22)</w:t>
      </w:r>
      <w:r>
        <w:rPr>
          <w:rFonts w:ascii="Times New Roman" w:hAnsi="Times New Roman"/>
          <w:b w:val="false"/>
          <w:i w:val="false"/>
          <w:color w:val="000000"/>
          <w:sz w:val="22"/>
        </w:rPr>
        <w:t> </w:t>
      </w:r>
      <w:r>
        <w:rPr>
          <w:rFonts w:ascii="Times New Roman" w:hAnsi="Times New Roman"/>
          <w:b w:val="false"/>
          <w:i/>
          <w:color w:val="000000"/>
          <w:sz w:val="22"/>
        </w:rPr>
        <w:t xml:space="preserve">Cashless wagering reserves. </w:t>
      </w:r>
      <w:r>
        <w:rPr>
          <w:rFonts w:ascii="Times New Roman" w:hAnsi="Times New Roman"/>
          <w:b w:val="false"/>
          <w:i w:val="false"/>
          <w:color w:val="000000"/>
          <w:sz w:val="22"/>
        </w:rPr>
        <w:t>A reserve in the form of cash or cash equivalents segregated from operational funds shall be maintained to cover the entirety of a licensee’s electronic wagering account liability. The reserve shall equal or exceed the licensee’s wagering account liability as of the last day in the previous quarter. An accounting of this reserve shall be made available for inspection to the commission upon request. The method of reserve shall be submitted to and approved by the administrator prior to implementation.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9018B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1876C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2795C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3446C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4194C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491—5.5</w:t>
      </w:r>
      <w:r>
        <w:rPr>
          <w:rFonts w:ascii="Times New Roman" w:hAnsi="Times New Roman"/>
          <w:b/>
          <w:i w:val="false"/>
          <w:color w:val="000000"/>
          <w:sz w:val="22"/>
        </w:rPr>
        <w:t xml:space="preserve">(99D) </w:t>
      </w:r>
      <w:r>
        <w:rPr>
          <w:rFonts w:ascii="Times New Roman" w:hAnsi="Times New Roman"/>
          <w:b/>
          <w:i w:val="false"/>
          <w:color w:val="000000"/>
          <w:sz w:val="22"/>
        </w:rPr>
        <w:t xml:space="preserve">Pari-mutuel uniform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Insect and rodent control. </w:t>
      </w:r>
      <w:r>
        <w:rPr>
          <w:rFonts w:ascii="Times New Roman" w:hAnsi="Times New Roman"/>
          <w:b w:val="false"/>
          <w:i w:val="false"/>
          <w:color w:val="000000"/>
          <w:sz w:val="22"/>
        </w:rPr>
        <w:t>The licensee shall provide systematic and effective insect and rodent control, including control of flies, mosquitoes, fleas, and mice, to all areas of licensee’s premises at all times during a race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Results boards, totalizators required. </w:t>
      </w:r>
      <w:r>
        <w:rPr>
          <w:rFonts w:ascii="Times New Roman" w:hAnsi="Times New Roman"/>
          <w:b w:val="false"/>
          <w:i w:val="false"/>
          <w:color w:val="000000"/>
          <w:sz w:val="22"/>
        </w:rPr>
        <w:t>Each licensee shall provide and maintain computerized totalizators and electronic boards showing odds, results, and other racing information located in plain view of patrons.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w:t>
      </w:r>
      <w:r>
        <w:rPr>
          <w:rFonts w:ascii="Times New Roman" w:hAnsi="Times New Roman"/>
          <w:b w:val="false"/>
          <w:i w:val="false"/>
          <w:color w:val="000000"/>
          <w:sz w:val="22"/>
        </w:rPr>
        <w:t> </w:t>
      </w:r>
      <w:r>
        <w:rPr>
          <w:rFonts w:ascii="Times New Roman" w:hAnsi="Times New Roman"/>
          <w:b w:val="false"/>
          <w:i/>
          <w:color w:val="000000"/>
          <w:sz w:val="22"/>
        </w:rPr>
        <w:t xml:space="preserve">Photo finish camera. </w:t>
      </w:r>
      <w:r>
        <w:rPr>
          <w:rFonts w:ascii="Times New Roman" w:hAnsi="Times New Roman"/>
          <w:b w:val="false"/>
          <w:i w:val="false"/>
          <w:color w:val="000000"/>
          <w:sz w:val="22"/>
        </w:rPr>
        <w:t>A licensee shall provide two electronic photo finish devices with mirror image to photograph the finish of each race and record the time of each racing animal in at least hundredths of a second. The location and operation of the photo finish device must be approved by the commission before its first use in a race. The licensee shall promptly post a photograph, on a monitor, of each photo finish for win, place or show, or for fourth place in superfecta races, in an area accessible to the public. The licensee shall ensure that the photo finish devices are calibrated before the first day of each race meeting and at other times as required by the commission. On request by the commission, the licensee shall provide, without cost, a print of a photo finish to the commission. A photo finish of each race shall be maintained by the licensee for not less than six months after the end of the race meeting, or such other period as may be requested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w:t>
      </w:r>
      <w:r>
        <w:rPr>
          <w:rFonts w:ascii="Times New Roman" w:hAnsi="Times New Roman"/>
          <w:b w:val="false"/>
          <w:i w:val="false"/>
          <w:color w:val="000000"/>
          <w:sz w:val="22"/>
        </w:rPr>
        <w:t> </w:t>
      </w:r>
      <w:r>
        <w:rPr>
          <w:rFonts w:ascii="Times New Roman" w:hAnsi="Times New Roman"/>
          <w:b w:val="false"/>
          <w:i/>
          <w:color w:val="000000"/>
          <w:sz w:val="22"/>
        </w:rPr>
        <w:t xml:space="preserve">Electric timing device. </w:t>
      </w:r>
      <w:r>
        <w:rPr>
          <w:rFonts w:ascii="Times New Roman" w:hAnsi="Times New Roman"/>
          <w:b w:val="false"/>
          <w:i w:val="false"/>
          <w:color w:val="000000"/>
          <w:sz w:val="22"/>
        </w:rPr>
        <w:t>Any electric timing device used by the licensee shall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color w:val="000000"/>
          <w:sz w:val="22"/>
        </w:rPr>
        <w:t xml:space="preserve">Official scale. </w:t>
      </w:r>
      <w:r>
        <w:rPr>
          <w:rFonts w:ascii="Times New Roman" w:hAnsi="Times New Roman"/>
          <w:b w:val="false"/>
          <w:i w:val="false"/>
          <w:color w:val="000000"/>
          <w:sz w:val="22"/>
        </w:rPr>
        <w:t>The licensee shall provide and maintain in good working order official scales or other approved weighing devices. The licensee shall provide to the stewards certification of the accuracy of the scales at the beginning of each race meeting or more frequently if requested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Each licensee shall provide and maintain adequate illumination in the barn/kennel area, parking area, and racetrack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w:t>
      </w:r>
      <w:r>
        <w:rPr>
          <w:rFonts w:ascii="Times New Roman" w:hAnsi="Times New Roman"/>
          <w:b w:val="false"/>
          <w:i w:val="false"/>
          <w:color w:val="000000"/>
          <w:sz w:val="22"/>
        </w:rPr>
        <w:t> </w:t>
      </w:r>
      <w:r>
        <w:rPr>
          <w:rFonts w:ascii="Times New Roman" w:hAnsi="Times New Roman"/>
          <w:b w:val="false"/>
          <w:i/>
          <w:color w:val="000000"/>
          <w:sz w:val="22"/>
        </w:rPr>
        <w:t xml:space="preserve">Fencing. </w:t>
      </w:r>
      <w:r>
        <w:rPr>
          <w:rFonts w:ascii="Times New Roman" w:hAnsi="Times New Roman"/>
          <w:b w:val="false"/>
          <w:i w:val="false"/>
          <w:color w:val="000000"/>
          <w:sz w:val="22"/>
        </w:rPr>
        <w:t>The stable and kennel areas should be properly fenced as defined by the commission and admission permitted only in accord with rules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w:t>
      </w:r>
      <w:r>
        <w:rPr>
          <w:rFonts w:ascii="Times New Roman" w:hAnsi="Times New Roman"/>
          <w:b w:val="false"/>
          <w:i w:val="false"/>
          <w:color w:val="000000"/>
          <w:sz w:val="22"/>
        </w:rPr>
        <w:t> </w:t>
      </w:r>
      <w:r>
        <w:rPr>
          <w:rFonts w:ascii="Times New Roman" w:hAnsi="Times New Roman"/>
          <w:b w:val="false"/>
          <w:i/>
          <w:color w:val="000000"/>
          <w:sz w:val="22"/>
        </w:rPr>
        <w:t xml:space="preserve">Guest passes. </w:t>
      </w:r>
      <w:r>
        <w:rPr>
          <w:rFonts w:ascii="Times New Roman" w:hAnsi="Times New Roman"/>
          <w:b w:val="false"/>
          <w:i w:val="false"/>
          <w:color w:val="000000"/>
          <w:sz w:val="22"/>
        </w:rPr>
        <w:t>The licensee shall develop a policy to be approved by the stewards for the issuance of guest passes for entrance to the kennel or stable area. The guest pass is not an occupational license and does not permit the holder to work in any capacity or in any way confer the benefits of an occupational license to participate in racing. The license holder sponsoring or escorting the guest shall be responsible for the conduct of the guest pass holder.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w:t>
      </w:r>
      <w:r>
        <w:rPr>
          <w:rFonts w:ascii="Times New Roman" w:hAnsi="Times New Roman"/>
          <w:b w:val="false"/>
          <w:i w:val="false"/>
          <w:color w:val="000000"/>
          <w:sz w:val="22"/>
        </w:rPr>
        <w:t> </w:t>
      </w:r>
      <w:r>
        <w:rPr>
          <w:rFonts w:ascii="Times New Roman" w:hAnsi="Times New Roman"/>
          <w:b w:val="false"/>
          <w:i/>
          <w:color w:val="000000"/>
          <w:sz w:val="22"/>
        </w:rPr>
        <w:t xml:space="preserve">Stewards. </w:t>
      </w:r>
      <w:r>
        <w:rPr>
          <w:rFonts w:ascii="Times New Roman" w:hAnsi="Times New Roman"/>
          <w:b w:val="false"/>
          <w:i w:val="false"/>
          <w:color w:val="000000"/>
          <w:sz w:val="22"/>
        </w:rPr>
        <w:t>There shall be three stewards for each racing meet, two appointed by the commission and one nominated by the licensee for approval by the commission. The names of licensees’ nominees for steward and biographical information describing the experience and qualifications of the nominees shall be submitted no later than 45 days before commencement of a race meeting. The commission may consider for appointment or approval a person who meets all of the following requirements. The person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Engaged in pari-mutuel racing in a capacity and for a period satisfactory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Satisfactorily passed an optical examination within one year prior to approval as a steward evidencing corrected 20/20 vision and the ability to distinguish colors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Satisfied the commission that income, other than salary as a steward, is independent of and unrelated to patronage of or employment by any occupational licensee under the supervision of the steward, so as to avoid the appearance of any conflict of interest or suggestion of preferential treatment of an occupational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5.5(10)</w:t>
      </w:r>
      <w:r>
        <w:rPr>
          <w:rFonts w:ascii="Times New Roman" w:hAnsi="Times New Roman"/>
          <w:b w:val="false"/>
          <w:i w:val="false"/>
          <w:color w:val="000000"/>
          <w:sz w:val="22"/>
        </w:rPr>
        <w:t> </w:t>
      </w:r>
      <w:r>
        <w:rPr>
          <w:rFonts w:ascii="Times New Roman" w:hAnsi="Times New Roman"/>
          <w:b w:val="false"/>
          <w:i/>
          <w:color w:val="000000"/>
          <w:sz w:val="22"/>
        </w:rPr>
        <w:t xml:space="preserve">Purse information. </w:t>
      </w:r>
      <w:r>
        <w:rPr>
          <w:rFonts w:ascii="Times New Roman" w:hAnsi="Times New Roman"/>
          <w:b w:val="false"/>
          <w:i w:val="false"/>
          <w:color w:val="000000"/>
          <w:sz w:val="22"/>
        </w:rPr>
        <w:t>Each licensee shall provide to the commission at the close of each racing meet the following purse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or entity to which purse money is paid by the licensee for purses won by racing animals at the facility. This report shall include the name, residential or business address and amount paid to that person or entity. The data should be assembled separately for Iowa and non-Iowa addressees, and aggregates should be presented in descending order of magnitude.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of each person or entity to which purse money is paid by the licensee for purses won by Iowa-bred animals at the facility. This report shall include the name, residential or business address and amount paid to that person or entity in supplemental funds for ownership of Iowa-bred animals. The data should be assembled separately for Iowa and non-Iowa addressees, and aggregates should be presented in descending order of magnitude.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Designated wagering area. </w:t>
      </w:r>
      <w:r>
        <w:rPr>
          <w:rFonts w:ascii="Times New Roman" w:hAnsi="Times New Roman"/>
          <w:b w:val="false"/>
          <w:i w:val="false"/>
          <w:color w:val="000000"/>
          <w:sz w:val="22"/>
        </w:rPr>
        <w:t>The designated wagering area is an area of a racetrack, designated by a licensee and approved by the commission, in which a licensee may receive from a person wagers of money on a horse or dog in a race selected by the person making the wagers as designated by the commission. Modification to a previously approved plan must be submitted for approval at least ten days prior to implementation. Exceptions to this rule must be approved in writing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Mobile pari-mutuel wagering. </w:t>
      </w:r>
      <w:r>
        <w:rPr>
          <w:rFonts w:ascii="Times New Roman" w:hAnsi="Times New Roman"/>
          <w:b w:val="false"/>
          <w:i w:val="false"/>
          <w:color w:val="000000"/>
          <w:sz w:val="22"/>
        </w:rPr>
        <w:t>Pari-mutuel wagering shall be allowed outside the designated wagering area using mobile pari-mutuel tellers with portable wagering devices and by any other method approved in writing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491—5.6</w:t>
      </w:r>
      <w:r>
        <w:rPr>
          <w:rFonts w:ascii="Times New Roman" w:hAnsi="Times New Roman"/>
          <w:b/>
          <w:i w:val="false"/>
          <w:color w:val="000000"/>
          <w:sz w:val="22"/>
        </w:rPr>
        <w:t xml:space="preserve">(99F) </w:t>
      </w:r>
      <w:r>
        <w:rPr>
          <w:rFonts w:ascii="Times New Roman" w:hAnsi="Times New Roman"/>
          <w:b/>
          <w:i w:val="false"/>
          <w:color w:val="000000"/>
          <w:sz w:val="22"/>
        </w:rPr>
        <w:t xml:space="preserve">Excursion gambling boat uniform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Excursion gambling boat.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The minimum passenger capacity necessary for an excursion gambling boat is 250.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Excursion boat. </w:t>
      </w:r>
      <w:r>
        <w:rPr>
          <w:rFonts w:ascii="Times New Roman" w:hAnsi="Times New Roman"/>
          <w:b w:val="false"/>
          <w:i w:val="false"/>
          <w:color w:val="000000"/>
          <w:sz w:val="22"/>
        </w:rPr>
        <w:t>A self-propelled, floating “vessel” as defined by the U.S. Coast Guard may contain more than one vessel. In order to be utilized for gaming purposes, the vessel containing the casino must either contain a permanent means of propulsion or have its means of propulsion contained in an attached vessel. In the event that the vessel containing the casino is propelled by a second vessel, the boat will be considered self-propelled only when the vessels are designed, constructed, and operated as a single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Moored barge. </w:t>
      </w:r>
      <w:r>
        <w:rPr>
          <w:rFonts w:ascii="Times New Roman" w:hAnsi="Times New Roman"/>
          <w:b w:val="false"/>
          <w:i w:val="false"/>
          <w:color w:val="000000"/>
          <w:sz w:val="22"/>
        </w:rPr>
        <w:t xml:space="preserve">“Barge” means any stationary structure approved by the commission, where the entire gaming floor is located on or near a body of water as defined under Iowa Code section </w:t>
      </w:r>
      <w:hyperlink r:id="rId56">
        <w:r>
          <w:rPr>
            <w:rStyle w:val="Hyperlink"/>
            <w:rFonts w:ascii="Times New Roman" w:hAnsi="Times New Roman"/>
            <w:b w:val="false"/>
            <w:i w:val="false"/>
            <w:color w:val="000000"/>
            <w:sz w:val="22"/>
          </w:rPr>
          <w:t>99F.7, subsection 1</w:t>
        </w:r>
      </w:hyperlink>
      <w:r>
        <w:rPr>
          <w:rFonts w:ascii="Times New Roman" w:hAnsi="Times New Roman"/>
          <w:b w:val="false"/>
          <w:i w:val="false"/>
          <w:color w:val="000000"/>
          <w:sz w:val="22"/>
        </w:rPr>
        <w:t>, and which facility is subject to land-based building codes rather than maritime or Iowa department of natural resources inspection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Excursions.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 xml:space="preserve">The excursion season shall be from April 1 through October 31 of each calendar year. An excursion boat must operate at least one excursion during the excursion season to operate during the off-season, although a waiver may be granted by the commission in the first year of a boat’s operation if construction of the boat was not completed in time for the boat to qualify. Excursions shall consist of a minimum of one hour in transit during the excursion season. The number of excursions per day is not limited. During the excursion season and the off-season, while the excursion gambling boat is docked, passengers may embark or disembark at any time during business hours pursuant to Iowa Code section </w:t>
      </w:r>
      <w:hyperlink r:id="rId57">
        <w:r>
          <w:rPr>
            <w:rStyle w:val="Hyperlink"/>
            <w:rFonts w:ascii="Times New Roman" w:hAnsi="Times New Roman"/>
            <w:b w:val="false"/>
            <w:i w:val="false"/>
            <w:color w:val="000000"/>
            <w:sz w:val="22"/>
          </w:rPr>
          <w:t>99F.4(17)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Dockside completion of excursions. </w:t>
      </w:r>
      <w:r>
        <w:rPr>
          <w:rFonts w:ascii="Times New Roman" w:hAnsi="Times New Roman"/>
          <w:b w:val="false"/>
          <w:i w:val="false"/>
          <w:color w:val="000000"/>
          <w:sz w:val="22"/>
        </w:rPr>
        <w:t>If, during the excursion season, the captain determines that it would be unsafe to complete any portion of an excursion, or if mechanical problems prevent the completion of any portion of an excursion, the boat may be allowed to remain at the dock or, if the excursion is underway, return to the dock and conduct the gaming portion of the excursion while dockside, unless the captain determines that passenger safety is threatened.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If an excursion is not completed due to reasons specified in paragraph </w:t>
      </w:r>
      <w:hyperlink r:id="rId58">
        <w:r>
          <w:rPr>
            <w:rStyle w:val="Hyperlink"/>
            <w:rFonts w:ascii="Times New Roman" w:hAnsi="Times New Roman"/>
            <w:b w:val="false"/>
            <w:i w:val="false"/>
            <w:color w:val="000000"/>
            <w:sz w:val="22"/>
          </w:rPr>
          <w:t>5.6(2)</w:t>
        </w:r>
        <w:r>
          <w:rPr>
            <w:rFonts w:ascii="Times New Roman" w:hAnsi="Times New Roman"/>
            <w:b w:val="false"/>
            <w:i/>
            <w:color w:val="000000"/>
            <w:sz w:val="22"/>
          </w:rPr>
          <w:t>“b,”</w:t>
        </w:r>
      </w:hyperlink>
      <w:r>
        <w:rPr>
          <w:rFonts w:ascii="Times New Roman" w:hAnsi="Times New Roman"/>
          <w:b w:val="false"/>
          <w:i w:val="false"/>
          <w:color w:val="000000"/>
          <w:sz w:val="22"/>
        </w:rPr>
        <w:t xml:space="preserve"> a commission representative shall be notified as soon as is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Drug testing of boat operators. </w:t>
      </w:r>
      <w:r>
        <w:rPr>
          <w:rFonts w:ascii="Times New Roman" w:hAnsi="Times New Roman"/>
          <w:b w:val="false"/>
          <w:i w:val="false"/>
          <w:color w:val="000000"/>
          <w:sz w:val="22"/>
        </w:rPr>
        <w:t xml:space="preserve">Captains, pilots, and physical operators of excursion gambling boats shall be drug tested, as permitted by Iowa Code section </w:t>
      </w:r>
      <w:hyperlink r:id="rId59">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 on a continuous basis with no more than 60 days between tests. The testing shall be conducted by a laboratory certified by the United States Department of Health and Human Services or approved under the rules adopted by the Iowa department of health and human services. The facility shall report positive test results to a commission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0">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61">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2/24/84—published 3/14/84, effective 4/1/84]</w:t>
      </w:r>
    </w:p>
    <w:p>
      <w:pPr>
        <w:spacing w:before="0" w:after="0"/>
        <w:ind w:left="120"/>
        <w:jc w:val="center"/>
      </w:pPr>
      <w:r>
        <w:rPr>
          <w:rFonts w:ascii="Times New Roman" w:hAnsi="Times New Roman"/>
          <w:b w:val="false"/>
          <w:i w:val="false"/>
          <w:color w:val="000000"/>
          <w:sz w:val="21"/>
        </w:rPr>
        <w:t>[Filed 8/24/84, Notice 3/14/84—published 9/12/84, effective 10/17/84]</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emergency 3/22/93—published 4/14/93, effective 3/22/93]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4/19/93, Notice 3/3/93—published 5/12/93, effective 6/16/93]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5/18/95, Notice 3/29/95—published 6/7/95, effective 7/12/95]</w:t>
      </w:r>
    </w:p>
    <w:p>
      <w:pPr>
        <w:spacing w:before="0" w:after="0"/>
        <w:ind w:left="120"/>
        <w:jc w:val="center"/>
      </w:pPr>
      <w:r>
        <w:rPr>
          <w:rFonts w:ascii="Times New Roman" w:hAnsi="Times New Roman"/>
          <w:b w:val="false"/>
          <w:i w:val="false"/>
          <w:color w:val="000000"/>
          <w:sz w:val="21"/>
        </w:rPr>
        <w:t>[Filed 10/18/96, Notice 9/11/96—published 11/6/96, effective 12/11/96]</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5/22/98, Notice 3/25/98—published 6/17/98, effective 7/22/98]</w:t>
      </w:r>
    </w:p>
    <w:p>
      <w:pPr>
        <w:spacing w:before="0" w:after="0"/>
        <w:ind w:left="120"/>
        <w:jc w:val="center"/>
      </w:pPr>
      <w:r>
        <w:rPr>
          <w:rFonts w:ascii="Times New Roman" w:hAnsi="Times New Roman"/>
          <w:b w:val="false"/>
          <w:i w:val="false"/>
          <w:color w:val="000000"/>
          <w:sz w:val="21"/>
        </w:rPr>
        <w:t>[Filed 7/24/98, Notice 6/17/98—published 8/12/98, effective 9/16/98]</w:t>
      </w:r>
    </w:p>
    <w:p>
      <w:pPr>
        <w:spacing w:before="0" w:after="0"/>
        <w:ind w:left="120"/>
        <w:jc w:val="center"/>
      </w:pPr>
      <w:r>
        <w:rPr>
          <w:rFonts w:ascii="Times New Roman" w:hAnsi="Times New Roman"/>
          <w:b w:val="false"/>
          <w:i w:val="false"/>
          <w:color w:val="000000"/>
          <w:sz w:val="21"/>
        </w:rPr>
        <w:t>[Filed 10/26/98, Notice 9/9/98—published 11/18/98, effective 12/23/98]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1/21/99, Notice 12/16/98—published 2/10/99, effective 3/17/99]</w:t>
      </w:r>
    </w:p>
    <w:p>
      <w:pPr>
        <w:spacing w:before="0" w:after="0"/>
        <w:ind w:left="120"/>
        <w:jc w:val="center"/>
      </w:pPr>
      <w:r>
        <w:rPr>
          <w:rFonts w:ascii="Times New Roman" w:hAnsi="Times New Roman"/>
          <w:b w:val="false"/>
          <w:i w:val="false"/>
          <w:color w:val="000000"/>
          <w:sz w:val="21"/>
        </w:rPr>
        <w:t>[Filed 1/20/00, Notice 11/17/99—published 2/9/00, effective 3/15/00]</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1/11/02, Notice 11/14/01—published 2/6/02, effective 3/13/02]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10/21/02, Notice 8/7/02—published 11/13/02, effective 12/18/02]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10/15/04, Notice 7/7/04—published 11/10/04, effective 12/15/04]</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[Editorial change: IAC Supplement 2/10/10]</w:t>
      </w:r>
    </w:p>
    <w:p>
      <w:pPr>
        <w:spacing w:before="0" w:after="0"/>
        <w:ind w:left="120"/>
        <w:jc w:val="center"/>
      </w:pPr>
      <w:r>
        <w:rPr>
          <w:rFonts w:ascii="Times New Roman" w:hAnsi="Times New Roman"/>
          <w:b w:val="false"/>
          <w:i w:val="false"/>
          <w:color w:val="000000"/>
          <w:sz w:val="21"/>
        </w:rPr>
        <w:t>[Filed ARC 9018B</w:t>
      </w:r>
      <w:r>
        <w:rPr>
          <w:rFonts w:ascii="Times New Roman" w:hAnsi="Times New Roman"/>
          <w:b w:val="false"/>
          <w:i w:val="false"/>
          <w:color w:val="000000"/>
          <w:sz w:val="21"/>
        </w:rPr>
        <w:t xml:space="preserve"> (Notice ARC 8726B, IAB 5/5/10)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1456C</w:t>
      </w:r>
      <w:r>
        <w:rPr>
          <w:rFonts w:ascii="Times New Roman" w:hAnsi="Times New Roman"/>
          <w:b w:val="false"/>
          <w:i w:val="false"/>
          <w:color w:val="000000"/>
          <w:sz w:val="21"/>
        </w:rPr>
        <w:t xml:space="preserve"> (Notice ARC 1310C, IAB 2/5/14)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1506C</w:t>
      </w:r>
      <w:r>
        <w:rPr>
          <w:rFonts w:ascii="Times New Roman" w:hAnsi="Times New Roman"/>
          <w:b w:val="false"/>
          <w:i w:val="false"/>
          <w:color w:val="000000"/>
          <w:sz w:val="21"/>
        </w:rPr>
        <w:t xml:space="preserve"> (Notice ARC 1393C, IAB 4/2/14)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1876C</w:t>
      </w:r>
      <w:r>
        <w:rPr>
          <w:rFonts w:ascii="Times New Roman" w:hAnsi="Times New Roman"/>
          <w:b w:val="false"/>
          <w:i w:val="false"/>
          <w:color w:val="000000"/>
          <w:sz w:val="21"/>
        </w:rPr>
        <w:t xml:space="preserve"> (Notice ARC 1770C,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2468C</w:t>
      </w:r>
      <w:r>
        <w:rPr>
          <w:rFonts w:ascii="Times New Roman" w:hAnsi="Times New Roman"/>
          <w:b w:val="false"/>
          <w:i w:val="false"/>
          <w:color w:val="000000"/>
          <w:sz w:val="21"/>
        </w:rPr>
        <w:t xml:space="preserve"> (Notice ARC 2320C, IAB 12/23/15)</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2795C</w:t>
      </w:r>
      <w:r>
        <w:rPr>
          <w:rFonts w:ascii="Times New Roman" w:hAnsi="Times New Roman"/>
          <w:b w:val="false"/>
          <w:i w:val="false"/>
          <w:color w:val="000000"/>
          <w:sz w:val="21"/>
        </w:rPr>
        <w:t xml:space="preserve"> (Notice ARC 2686C, IAB 8/31/16)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3446C</w:t>
      </w:r>
      <w:r>
        <w:rPr>
          <w:rFonts w:ascii="Times New Roman" w:hAnsi="Times New Roman"/>
          <w:b w:val="false"/>
          <w:i w:val="false"/>
          <w:color w:val="000000"/>
          <w:sz w:val="21"/>
        </w:rPr>
        <w:t xml:space="preserve"> (Notice ARC 3255C, IAB 8/16/17)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4194C</w:t>
      </w:r>
      <w:r>
        <w:rPr>
          <w:rFonts w:ascii="Times New Roman" w:hAnsi="Times New Roman"/>
          <w:b w:val="false"/>
          <w:i w:val="false"/>
          <w:color w:val="000000"/>
          <w:sz w:val="21"/>
        </w:rPr>
        <w:t xml:space="preserve"> (Notice ARC 3926C, IAB 8/1/18)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r>
        <w:br/>
      </w: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5.1(5)</w:t>
      </w:r>
      <w:r>
        <w:rPr>
          <w:rFonts w:ascii="Times New Roman" w:hAnsi="Times New Roman"/>
          <w:b w:val="false"/>
          <w:i/>
          <w:color w:val="000000"/>
          <w:sz w:val="22"/>
        </w:rPr>
        <w:t>“c”</w:t>
      </w:r>
      <w:r>
        <w:rPr>
          <w:rFonts w:ascii="Times New Roman" w:hAnsi="Times New Roman"/>
          <w:b w:val="false"/>
          <w:i w:val="false"/>
          <w:color w:val="000000"/>
          <w:sz w:val="22"/>
        </w:rPr>
        <w:t xml:space="preserve"> delayed until the end of the 1999 Session of the General Assembly by the Administrative Rules Review Committee at its meeting held December 8, 1998.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20.pdf" Type="http://schemas.openxmlformats.org/officeDocument/2006/relationships/hyperlink" Id="rId5"/>
    <Relationship TargetMode="External" Target="https://www.legis.iowa.gov/docs/ico/chapter/99F.13.pdf" Type="http://schemas.openxmlformats.org/officeDocument/2006/relationships/hyperlink" Id="rId6"/>
    <Relationship TargetMode="External" Target="https://www.legis.iowa.gov/docs/ico/chapter/542.pdf" Type="http://schemas.openxmlformats.org/officeDocument/2006/relationships/hyperlink" Id="rId7"/>
    <Relationship TargetMode="External" Target="https://www.legis.iowa.gov/docs/ico/chapter/99D.20.pdf" Type="http://schemas.openxmlformats.org/officeDocument/2006/relationships/hyperlink" Id="rId8"/>
    <Relationship TargetMode="External" Target="https://www.legis.iowa.gov/docs/ico/chapter/99F.13.pdf" Type="http://schemas.openxmlformats.org/officeDocument/2006/relationships/hyperlink" Id="rId9"/>
    <Relationship TargetMode="External" Target="https://www.legis.iowa.gov/docs/ico/chapter/99F.12.pdf" Type="http://schemas.openxmlformats.org/officeDocument/2006/relationships/hyperlink" Id="rId10"/>
    <Relationship TargetMode="External" Target="https://www.legis.iowa.gov/docs/iac/rule/491.5.4.pdf" Type="http://schemas.openxmlformats.org/officeDocument/2006/relationships/hyperlink" Id="rId11"/>
    <Relationship TargetMode="External" Target="https://www.legis.iowa.gov/docs/ico/chapter/99D.pdf" Type="http://schemas.openxmlformats.org/officeDocument/2006/relationships/hyperlink" Id="rId12"/>
    <Relationship TargetMode="External" Target="https://www.legis.iowa.gov/docs/ico/chapter/99F.pdf" Type="http://schemas.openxmlformats.org/officeDocument/2006/relationships/hyperlink" Id="rId13"/>
    <Relationship TargetMode="External" Target="https://www.legis.iowa.gov/docs/ico/chapter/99D.pdf" Type="http://schemas.openxmlformats.org/officeDocument/2006/relationships/hyperlink" Id="rId14"/>
    <Relationship TargetMode="External" Target="https://www.legis.iowa.gov/docs/ico/chapter/99F.pdf" Type="http://schemas.openxmlformats.org/officeDocument/2006/relationships/hyperlink" Id="rId15"/>
    <Relationship TargetMode="External" Target="https://www.legis.iowa.gov/docs/iac/rule/491.5.4.pdf" Type="http://schemas.openxmlformats.org/officeDocument/2006/relationships/hyperlink" Id="rId16"/>
    <Relationship TargetMode="External" Target="https://www.legis.iowa.gov/docs/ico/chapter/99D.pdf" Type="http://schemas.openxmlformats.org/officeDocument/2006/relationships/hyperlink" Id="rId17"/>
    <Relationship TargetMode="External" Target="https://www.legis.iowa.gov/docs/ico/chapter/99F.pdf" Type="http://schemas.openxmlformats.org/officeDocument/2006/relationships/hyperlink" Id="rId18"/>
    <Relationship TargetMode="External" Target="https://www.legis.iowa.gov/docs/iac/chapter/661.141.pdf" Type="http://schemas.openxmlformats.org/officeDocument/2006/relationships/hyperlink" Id="rId19"/>
    <Relationship TargetMode="External" Target="https://www.legis.iowa.gov/docs/ico/chapter/99F.pdf" Type="http://schemas.openxmlformats.org/officeDocument/2006/relationships/hyperlink" Id="rId20"/>
    <Relationship TargetMode="External" Target="https://www.legis.iowa.gov/docs/iac/chapter/661.141.pdf" Type="http://schemas.openxmlformats.org/officeDocument/2006/relationships/hyperlink" Id="rId21"/>
    <Relationship TargetMode="External" Target="https://www.legis.iowa.gov/docs/iac/rule/491.11.13.pdf" Type="http://schemas.openxmlformats.org/officeDocument/2006/relationships/hyperlink" Id="rId22"/>
    <Relationship TargetMode="External" Target="https://www.legis.iowa.gov/docs/iac/rule/491.11.1.pdf" Type="http://schemas.openxmlformats.org/officeDocument/2006/relationships/hyperlink" Id="rId23"/>
    <Relationship TargetMode="External" Target="https://www.legis.iowa.gov/docs/iac/rule/491.5.4.pdf" Type="http://schemas.openxmlformats.org/officeDocument/2006/relationships/hyperlink" Id="rId24"/>
    <Relationship TargetMode="External" Target="https://www.legis.iowa.gov/docs/iac/rule/491.5.4.pdf" Type="http://schemas.openxmlformats.org/officeDocument/2006/relationships/hyperlink" Id="rId25"/>
    <Relationship TargetMode="External" Target="https://www.legis.iowa.gov/docs/iac/rule/491.5.4.pdf" Type="http://schemas.openxmlformats.org/officeDocument/2006/relationships/hyperlink" Id="rId26"/>
    <Relationship TargetMode="External" Target="https://www.legis.iowa.gov/docs/iac/rule/491.5.4.pdf" Type="http://schemas.openxmlformats.org/officeDocument/2006/relationships/hyperlink" Id="rId27"/>
    <Relationship TargetMode="External" Target="https://www.legis.iowa.gov/docs/ico/chapter/99D.9.pdf" Type="http://schemas.openxmlformats.org/officeDocument/2006/relationships/hyperlink" Id="rId28"/>
    <Relationship TargetMode="External" Target="https://www.legis.iowa.gov/docs/ico/chapter/99F.7.pdf" Type="http://schemas.openxmlformats.org/officeDocument/2006/relationships/hyperlink" Id="rId29"/>
    <Relationship TargetMode="External" Target="https://www.legis.iowa.gov/docs/ico/chapter/99D.8.pdf" Type="http://schemas.openxmlformats.org/officeDocument/2006/relationships/hyperlink" Id="rId30"/>
    <Relationship TargetMode="External" Target="https://www.legis.iowa.gov/docs/ico/chapter/99D.pdf" Type="http://schemas.openxmlformats.org/officeDocument/2006/relationships/hyperlink" Id="rId31"/>
    <Relationship TargetMode="External" Target="https://www.legis.iowa.gov/docs/ico/chapter/99F.pdf" Type="http://schemas.openxmlformats.org/officeDocument/2006/relationships/hyperlink" Id="rId32"/>
    <Relationship TargetMode="External" Target="https://www.legis.iowa.gov/docs/ico/chapter/99F.pdf" Type="http://schemas.openxmlformats.org/officeDocument/2006/relationships/hyperlink" Id="rId33"/>
    <Relationship TargetMode="External" Target="https://www.legis.iowa.gov/docs/ico/chapter/99F.pdf" Type="http://schemas.openxmlformats.org/officeDocument/2006/relationships/hyperlink" Id="rId34"/>
    <Relationship TargetMode="External" Target="https://www.legis.iowa.gov/docs/ico/chapter/99F.7.pdf" Type="http://schemas.openxmlformats.org/officeDocument/2006/relationships/hyperlink" Id="rId35"/>
    <Relationship TargetMode="External" Target="https://www.legis.iowa.gov/docs/ico/chapter/99F.7A.pdf" Type="http://schemas.openxmlformats.org/officeDocument/2006/relationships/hyperlink" Id="rId36"/>
    <Relationship TargetMode="External" Target="https://www.legis.iowa.gov/docs/ico/chapter/99D.2.pdf" Type="http://schemas.openxmlformats.org/officeDocument/2006/relationships/hyperlink" Id="rId37"/>
    <Relationship TargetMode="External" Target="https://www.legis.iowa.gov/docs/ico/chapter/99F.1.pdf" Type="http://schemas.openxmlformats.org/officeDocument/2006/relationships/hyperlink" Id="rId38"/>
    <Relationship TargetMode="External" Target="https://www.legis.iowa.gov/docs/ico/chapter/99D.pdf" Type="http://schemas.openxmlformats.org/officeDocument/2006/relationships/hyperlink" Id="rId39"/>
    <Relationship TargetMode="External" Target="https://www.legis.iowa.gov/docs/ico/chapter/99F.pdf" Type="http://schemas.openxmlformats.org/officeDocument/2006/relationships/hyperlink" Id="rId40"/>
    <Relationship TargetMode="External" Target="https://www.legis.iowa.gov/docs/ico/chapter/99F.4.pdf" Type="http://schemas.openxmlformats.org/officeDocument/2006/relationships/hyperlink" Id="rId41"/>
    <Relationship TargetMode="External" Target="https://www.legis.iowa.gov/docs/ico/chapter/99D.7.pdf" Type="http://schemas.openxmlformats.org/officeDocument/2006/relationships/hyperlink" Id="rId42"/>
    <Relationship TargetMode="External" Target="https://www.legis.iowa.gov/docs/ico/chapter/99D.7.pdf" Type="http://schemas.openxmlformats.org/officeDocument/2006/relationships/hyperlink" Id="rId43"/>
    <Relationship TargetMode="External" Target="https://www.legis.iowa.gov/docs/ico/chapter/99F.4.pdf" Type="http://schemas.openxmlformats.org/officeDocument/2006/relationships/hyperlink" Id="rId44"/>
    <Relationship TargetMode="External" Target="https://www.legis.iowa.gov/docs/ico/chapter/99D.pdf" Type="http://schemas.openxmlformats.org/officeDocument/2006/relationships/hyperlink" Id="rId45"/>
    <Relationship TargetMode="External" Target="https://www.legis.iowa.gov/docs/ico/chapter/99F.pdf" Type="http://schemas.openxmlformats.org/officeDocument/2006/relationships/hyperlink" Id="rId46"/>
    <Relationship TargetMode="External" Target="https://www.legis.iowa.gov/docs/ico/chapter/730.5.pdf" Type="http://schemas.openxmlformats.org/officeDocument/2006/relationships/hyperlink" Id="rId47"/>
    <Relationship TargetMode="External" Target="https://www.legis.iowa.gov/docs/iac/rule/491.12.1.pdf" Type="http://schemas.openxmlformats.org/officeDocument/2006/relationships/hyperlink" Id="rId48"/>
    <Relationship TargetMode="External" Target="https://www.legis.iowa.gov/docs/iac/rule/491.5.4.pdf" Type="http://schemas.openxmlformats.org/officeDocument/2006/relationships/hyperlink" Id="rId49"/>
    <Relationship TargetMode="External" Target="https://www.legis.iowa.gov/docs/iac/rule/491.5.6.pdf" Type="http://schemas.openxmlformats.org/officeDocument/2006/relationships/hyperlink" Id="rId50"/>
    <Relationship TargetMode="External" Target="https://www.legis.iowa.gov/docs/ico/chapter/103A.pdf" Type="http://schemas.openxmlformats.org/officeDocument/2006/relationships/hyperlink" Id="rId51"/>
    <Relationship TargetMode="External" Target="https://www.legis.iowa.gov/docs/ico/chapter/99D.pdf" Type="http://schemas.openxmlformats.org/officeDocument/2006/relationships/hyperlink" Id="rId52"/>
    <Relationship TargetMode="External" Target="https://www.legis.iowa.gov/docs/ico/chapter/99F.pdf" Type="http://schemas.openxmlformats.org/officeDocument/2006/relationships/hyperlink" Id="rId53"/>
    <Relationship TargetMode="External" Target="https://www.legis.iowa.gov/docs/ico/chapter/99F.7A.pdf" Type="http://schemas.openxmlformats.org/officeDocument/2006/relationships/hyperlink" Id="rId54"/>
    <Relationship TargetMode="External" Target="https://www.legis.iowa.gov/docs/iac/rule/491.5.4.pdf" Type="http://schemas.openxmlformats.org/officeDocument/2006/relationships/hyperlink" Id="rId55"/>
    <Relationship TargetMode="External" Target="https://www.legis.iowa.gov/docs/ico/chapter/99F.7.pdf" Type="http://schemas.openxmlformats.org/officeDocument/2006/relationships/hyperlink" Id="rId56"/>
    <Relationship TargetMode="External" Target="https://www.legis.iowa.gov/docs/ico/chapter/99F.4.pdf" Type="http://schemas.openxmlformats.org/officeDocument/2006/relationships/hyperlink" Id="rId57"/>
    <Relationship TargetMode="External" Target="https://www.legis.iowa.gov/docs/iac/rule/491.5.6.pdf" Type="http://schemas.openxmlformats.org/officeDocument/2006/relationships/hyperlink" Id="rId58"/>
    <Relationship TargetMode="External" Target="https://www.legis.iowa.gov/docs/ico/chapter/730.5.pdf" Type="http://schemas.openxmlformats.org/officeDocument/2006/relationships/hyperlink" Id="rId59"/>
    <Relationship TargetMode="External" Target="https://www.legis.iowa.gov/docs/ico/chapter/99D.pdf" Type="http://schemas.openxmlformats.org/officeDocument/2006/relationships/hyperlink" Id="rId60"/>
    <Relationship TargetMode="External" Target="https://www.legis.iowa.gov/docs/ico/chapter/99F.pdf" Type="http://schemas.openxmlformats.org/officeDocument/2006/relationships/hyperlink"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