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 AND OTHER PROCEEDINGS</w:t>
      </w:r>
    </w:p>
    <w:p>
      <w:pPr>
        <w:spacing w:before="0" w:after="0"/>
        <w:ind w:left="120"/>
        <w:jc w:val="center"/>
      </w:pPr>
      <w:r>
        <w:rPr>
          <w:rFonts w:ascii="Times New Roman" w:hAnsi="Times New Roman"/>
          <w:b w:val="false"/>
          <w:i w:val="false"/>
          <w:color w:val="000000"/>
          <w:sz w:val="20"/>
        </w:rPr>
        <w:t>[Prior to 11/19/86, Racing Commission[693]]</w:t>
      </w:r>
    </w:p>
    <w:p>
      <w:pPr>
        <w:spacing w:before="0" w:after="0"/>
        <w:ind w:left="120"/>
        <w:jc w:val="center"/>
      </w:pPr>
      <w:r>
        <w:rPr>
          <w:rFonts w:ascii="Times New Roman" w:hAnsi="Times New Roman"/>
          <w:b w:val="false"/>
          <w:i w:val="false"/>
          <w:color w:val="000000"/>
          <w:sz w:val="20"/>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racing and gaming commission. The chapter shall also apply to gaming boards’ and board of stewards’ proceedings and gaming representatives’ or administrator’s designees’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stewards”</w:t>
      </w:r>
      <w:r>
        <w:rPr>
          <w:rFonts w:ascii="Times New Roman" w:hAnsi="Times New Roman"/>
          <w:b w:val="false"/>
          <w:i w:val="false"/>
          <w:color w:val="000000"/>
          <w:sz w:val="22"/>
        </w:rPr>
        <w:t> </w:t>
      </w:r>
      <w:r>
        <w:rPr>
          <w:rFonts w:ascii="Times New Roman" w:hAnsi="Times New Roman"/>
          <w:b w:val="false"/>
          <w:i w:val="false"/>
          <w:color w:val="000000"/>
          <w:sz w:val="22"/>
        </w:rPr>
        <w:t>means a board established by the administrator to review conduct by occupational and pari-mutuel licensees that may constitute violations of the rules and statutes relating to pari-mutuel racing.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“Gaming board”</w:t>
      </w:r>
      <w:r>
        <w:rPr>
          <w:rFonts w:ascii="Times New Roman" w:hAnsi="Times New Roman"/>
          <w:b w:val="false"/>
          <w:i w:val="false"/>
          <w:color w:val="000000"/>
          <w:sz w:val="22"/>
        </w:rPr>
        <w:t> </w:t>
      </w:r>
      <w:r>
        <w:rPr>
          <w:rFonts w:ascii="Times New Roman" w:hAnsi="Times New Roman"/>
          <w:b w:val="false"/>
          <w:i w:val="false"/>
          <w:color w:val="000000"/>
          <w:sz w:val="22"/>
        </w:rPr>
        <w:t>means a board established by the administrator to review conduct by occupational, excursion gambling boat, gambling structure, sports wagering, fantasy sports contest and gambling game licensees that may constitute violations of the rules and statutes relating to gaming.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“Gaming representative”</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commission assigned by the administrator to a licensed pari-mutuel racetrack, excursion gambling boat, or gambling structure to perform the supervisory and regulatory duties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law judge presiding over a contested case hearing or the commission in cases heard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law judge’s recommended findings of fact, conclusions of law, decision, and order in a contested case in which the commission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“Steward”</w:t>
      </w:r>
      <w:r>
        <w:rPr>
          <w:rFonts w:ascii="Times New Roman" w:hAnsi="Times New Roman"/>
          <w:b w:val="false"/>
          <w:i w:val="false"/>
          <w:color w:val="000000"/>
          <w:sz w:val="22"/>
        </w:rPr>
        <w:t> </w:t>
      </w:r>
      <w:r>
        <w:rPr>
          <w:rFonts w:ascii="Times New Roman" w:hAnsi="Times New Roman"/>
          <w:b w:val="false"/>
          <w:i w:val="false"/>
          <w:color w:val="000000"/>
          <w:sz w:val="22"/>
        </w:rPr>
        <w:t>means a racing official appointed or approved by the commission to perform the supervisory and regulatory duties relating to pari-mutuel racing.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computing any period of time prescribed or allowed by these rules or by an applicable statute, the day of the act, event or default from which the designated period of time begins to run shall not be included. The last day of the period so computed shall be included, unless it is a Saturday, Sunday, or legal holiday, in which event the period runs until the end of the next day which is not a Saturday, Sunday, or legal holiday. Legal holidays are prescribed in Iowa Code 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All documents or papers required to be filed with the commission shall be delivered to any commission office within such time limits as prescribed by law or by rules or orders of the commission. No papers shall be considered filed until actually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pBdr>
          <w:top w:space="10"/>
        </w:pBdr>
        <w:spacing w:before="0" w:after="0"/>
        <w:ind w:left="120"/>
        <w:jc w:val="center"/>
      </w:pPr>
      <w:r>
        <w:rPr>
          <w:rFonts w:ascii="Times New Roman" w:hAnsi="Times New Roman"/>
          <w:b w:val="false"/>
          <w:i w:val="false"/>
          <w:color w:val="000000"/>
          <w:sz w:val="16"/>
        </w:rPr>
        <w:t>GAMING REPRESENTATIVE, GAMING BOARD,</w:t>
      </w:r>
      <w:r>
        <w:br/>
      </w:r>
      <w:r>
        <w:rPr>
          <w:rFonts w:ascii="Times New Roman" w:hAnsi="Times New Roman"/>
          <w:b w:val="false"/>
          <w:i w:val="false"/>
          <w:color w:val="000000"/>
          <w:sz w:val="16"/>
        </w:rPr>
        <w:t>AND BOARD OF STEWARDS</w:t>
      </w:r>
    </w:p>
    <w:p>
      <w:pPr>
        <w:spacing w:before="0" w:after="0"/>
        <w:ind w:left="120"/>
        <w:jc w:val="both"/>
      </w:pPr>
      <w:r>
        <w:rPr>
          <w:rFonts w:ascii="Times New Roman" w:hAnsi="Times New Roman"/>
          <w:b/>
          <w:i w:val="false"/>
          <w:color w:val="000000"/>
          <w:sz w:val="22"/>
        </w:rPr>
        <w:t>491—4.4</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Gaming representatives and administrator’s designees—licensing and regulatory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shall make decisions whether to approve applications for occupational licenses, in accordance with the rules and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decision denying a license for an occupational license shall be in writing. The decision must contain a brief explanation of the reason for the decision, including a reference to the statute or rule serving as the basis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3/12/03.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applicant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shall monitor, supervise, and regulate the activities of occupational, pari-mutuel racetrack, sports wagering, fantasy sports contest, gambling game, excursion gambling boat, and gambling structure licensees. A gaming representative or the administrator’s designee may investigate any questionable conduct by a licensee for any violation of the rules or statutes. A gaming representative or the administrator’s designee may refer an investigation to the gaming board upon suspicion that a licensee or nonlicensee has committed a violation of the rules or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referral to the gaming board shall be in writing. The referral shall make reference to rules or statutory provisions at issue and provide a factual basis supporting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making the referral to the gaming board, or a designee of the gaming board, shall appear before the gaming board at the hearing to provide any information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 xml:space="preserve">A gaming representative or the administrator’s designee shall summarily suspend an occupational license when a licensee has been formally arrested or charged with a crime that would disqualify the licensee, if convicted, from holding a license and the gaming representative or the administrator’s designee determines that the licensee poses an immediate danger to the public health, safety, or welfare of the patrons, participants, or animals associated with a facility licensed under Iowa Code chapter </w:t>
      </w:r>
      <w:hyperlink r:id="rId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Upon proof of resolution of a disqualifying criminal charge or formal arrest, regardless of summary suspension of a license, the gaming representative shall take one of the following courses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was summarily suspended and the charges are dismissed or the licensee is acquitted of the charges, the gaming representative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is convicted of the charges, the gaming representative shall deny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is convicted of a lesser charge, it is at the discretion of the gaming representative whether to reinstate or deny the license pursuant to </w:t>
      </w:r>
      <w:hyperlink r:id="rId11">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gaming representative shall revoke the license of a person reported to the commission as having refused drug testing or as having a confirmed positive drug test result for a controlled substance, for a drug test conducted pursuant to Iowa Code section </w:t>
      </w:r>
      <w:hyperlink r:id="rId12">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99F.4(20)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A gaming representative may eject and exclude any person from the premises of a pari-mutuel racetrack, excursion gambling boat, or gambling structure for any reason justified by the rules or statutes. The gaming representative may provide notice of ejection or exclusion orally or in writing. The gaming representative may define the scope of the exclusion to any degree necessary to protect the integrity of racing and gaming in Iowa. The gaming representative may exclude the person for a certain or an indefinite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may forbid any person from continuing to engage in an activity the representative feels is detrimental to racing or gaming until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shall have other powers and duties set forth in the statutes and rules, and as assigned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w:t>
      </w:r>
      <w:r>
        <w:rPr>
          <w:rFonts w:ascii="Times New Roman" w:hAnsi="Times New Roman"/>
          <w:b w:val="false"/>
          <w:i w:val="false"/>
          <w:color w:val="000000"/>
          <w:sz w:val="22"/>
        </w:rPr>
        <w:t> </w:t>
      </w:r>
      <w:r>
        <w:rPr>
          <w:rFonts w:ascii="Times New Roman" w:hAnsi="Times New Roman"/>
          <w:b w:val="false"/>
          <w:i w:val="false"/>
          <w:color w:val="000000"/>
          <w:sz w:val="22"/>
        </w:rPr>
        <w:t xml:space="preserve">A gaming representative may summarily suspend an occupational licensee in accordance with rule </w:t>
      </w:r>
      <w:hyperlink r:id="rId14">
        <w:r>
          <w:rPr>
            <w:rStyle w:val="Hyperlink"/>
            <w:rFonts w:ascii="Times New Roman" w:hAnsi="Times New Roman"/>
            <w:b w:val="false"/>
            <w:i w:val="false"/>
            <w:color w:val="000000"/>
            <w:sz w:val="22"/>
          </w:rPr>
          <w:t>491—4.47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491—4.5</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Gaming board—duties. </w:t>
      </w:r>
      <w:r>
        <w:rPr>
          <w:rFonts w:ascii="Times New Roman" w:hAnsi="Times New Roman"/>
          <w:b w:val="false"/>
          <w:i w:val="false"/>
          <w:color w:val="000000"/>
          <w:sz w:val="22"/>
        </w:rPr>
        <w:t>The gaming board conducts informal hearings whenever the board has reasonable cause to believe that a licensee, an occupational licensee, or other persons have committed an act or engaged in conduct which is in violation of statute or commission rules. The hearings precede a contested case hearing and are investigative in nature. The following procedures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The gaming board shall consist of three gaming representatives, as assigned by the administrator. The administrator has the discretion to create more than one gaming board, to set terms for gaming board members, to assign alternates, and to make any decisions necessary for the efficient and effective operation of the gaming board. A gaming representative who has made a referral to the gaming board shall not sit on the board that makes a decision on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designate an employee to act as gaming board coordinator. The gaming board coordinator shall have the power to assist and advise the gaming board through all aspects of the gaming board hearing process. The gaming board coordinator may review any referral from gaming representatives prior to setting the matter for hearing before the gaming board. The gaming board coordinator, in consultation with the administrator or the administrator’s designee, may return the referral to the initiating gaming representative if the information provided appears insufficient to establish a violation. The gaming board coordinator shall otherwise assist the gaming board in setting the matter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The gaming board, upon receipt of a referral, may review the referral prior to the hearing. The gaming board may return a referral to the initiating gaming representative or the administrator’s designee on its own motion prior to hearing if the information provided appears insufficient to establish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val="false"/>
          <w:color w:val="000000"/>
          <w:sz w:val="22"/>
        </w:rPr>
        <w:t>Upon finding of reasonable cause, the board shall schedule a hearing to which the license holder shall be summoned for the purpose of investigating suspected or alleged misconduct by the license holder, at which all board members or their appointed representatives shall be present in person or by teleconference. The license holder may request a continuance for good cause in writing not less than 24 hours prior to the hearing except in cases of unanticipated emergencies. The continuance need not necessarily stay any intermediate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val="false"/>
          <w:color w:val="000000"/>
          <w:sz w:val="22"/>
        </w:rPr>
        <w:t>The notice of hearing given to the license holder shall give adequate notice of the time, place and purpose of the board’s hearing and shall specify by number the statutes or rules allegedly violated. If a license holder, after receiving adequate notice of a board meeting, fails to appear as summoned, the license holder will be deemed to have waived any right to appear and present evidence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val="false"/>
          <w:color w:val="000000"/>
          <w:sz w:val="22"/>
        </w:rPr>
        <w:t>The gaming board has complete and total authority to decide all issues concerning the process of the hearing. The gaming board shall recognize witnesses and either question the witnesses or allow them to give a narrative account of the facts relevant to the case. The gaming board has the right to request witnesses or additional documents that have not been submitted by the initiating gaming representative. The licensee has no right to present testimony, cross-examine witnesses, make objections, or present argument, unless specifically authorized by the gaming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val="false"/>
          <w:color w:val="000000"/>
          <w:sz w:val="22"/>
        </w:rPr>
        <w:t>It is the duty and obligation of every licensee to make full disclosure at a hearing before the board of any knowledge possessed regarding the violation of any rule, regulation or law concerning racing and gaming in Iowa. No person may refuse to testify before the board at any hearing on any relevant matter within the authority of the board, except in the proper exercise of a legal privilege. No person shall falsely testify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not holders of a license or occupational license and who have allegedly violated commission rules or statute, or whose presence at a licensed facility is allegedly undesirable, are subject to the authority of the board and to any penalties, as set forth in rule </w:t>
      </w:r>
      <w:hyperlink r:id="rId15">
        <w:r>
          <w:rPr>
            <w:rStyle w:val="Hyperlink"/>
            <w:rFonts w:ascii="Times New Roman" w:hAnsi="Times New Roman"/>
            <w:b w:val="false"/>
            <w:i w:val="false"/>
            <w:color w:val="000000"/>
            <w:sz w:val="22"/>
          </w:rPr>
          <w:t>491—4.7</w:t>
        </w:r>
      </w:hyperlink>
      <w:r>
        <w:rPr>
          <w:rFonts w:ascii="Times New Roman" w:hAnsi="Times New Roman"/>
          <w:b w:val="false"/>
          <w:i w:val="false"/>
          <w:color w:val="000000"/>
          <w:sz w:val="22"/>
        </w:rPr>
        <w:t>(99D,99F).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val="false"/>
          <w:color w:val="000000"/>
          <w:sz w:val="22"/>
        </w:rPr>
        <w:t>The gaming board has the power to interpret the rules and to decide all questions not specifically covered by them. The board has the power to determine all questions arising with reference to the conduct of gaming and sports wagering and fantasy sports contests and the authority to decide any question or dispute relating to racing, gaming, sports wagering or fantasy sports contests in compliance with rules promulgated by the commission or policies approved for licensees, and persons participating in licensed racing or gaming agree in so doing to recognize and accept that authority. The board may also suspend the license of any license holder when the board has reasonable cause to believe that a violation of law or rule has been committed and that the continued performance of that individual in a licensed capacity would be injurious to the best interests of racing or gaming.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w:t>
      </w:r>
      <w:r>
        <w:rPr>
          <w:rFonts w:ascii="Times New Roman" w:hAnsi="Times New Roman"/>
          <w:b w:val="false"/>
          <w:i w:val="false"/>
          <w:color w:val="000000"/>
          <w:sz w:val="22"/>
        </w:rPr>
        <w:t> </w:t>
      </w:r>
      <w:r>
        <w:rPr>
          <w:rFonts w:ascii="Times New Roman" w:hAnsi="Times New Roman"/>
          <w:b w:val="false"/>
          <w:i w:val="false"/>
          <w:color w:val="000000"/>
          <w:sz w:val="22"/>
        </w:rPr>
        <w:t>The gaming board shall enter a written decision after each hearing. The decision shall find whether there is a violation of the rules or statutes and, if so, shall briefly set forth the legal and factual basis for the finding. The decision shall also establish a penalty for any violation. The gaming board has the authority to impose any penalty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licensee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val="false"/>
          <w:color w:val="000000"/>
          <w:sz w:val="22"/>
        </w:rPr>
        <w:t>Informal settlements. A licensee may enter into a written stipulation representing an informed mutual consent with a gaming representative or the administrator’s designee. This stipulation must specifically outline the violation and the penalty imposed. Stipulations must be approved by the gaming board. Stipulations are considered final agency action and cannot be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491—4.6</w:t>
      </w:r>
      <w:r>
        <w:rPr>
          <w:rFonts w:ascii="Times New Roman" w:hAnsi="Times New Roman"/>
          <w:b/>
          <w:i w:val="false"/>
          <w:color w:val="000000"/>
          <w:sz w:val="22"/>
        </w:rPr>
        <w:t xml:space="preserve">(99D,99F) </w:t>
      </w:r>
      <w:r>
        <w:rPr>
          <w:rFonts w:ascii="Times New Roman" w:hAnsi="Times New Roman"/>
          <w:b/>
          <w:i w:val="false"/>
          <w:color w:val="000000"/>
          <w:sz w:val="22"/>
        </w:rPr>
        <w:t xml:space="preserve">Stewards—licensing and regulatory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The stewards shall make decisions whether to approve applications for occupational licenses, in accordance with the rules and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decision denying an application for an occupational license shall be in writing. The decision must contain a brief explanation of the reason for the decision, including a reference to the statute or rule serving as the basis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3/12/03.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an occupational license may appeal a decision denying the application. An appeal must be made in writing to the office of the stewards or the commission’s office in Des Moines. The appeal must be received within 72 hours of service of the decision. The appeal must contain numbered paragraphs and set forth the name of the person seeking review, the decision to be reviewed, separate assignments of error, clear and concise statement of relevant facts, reference to applicable statutes, rules or other authority, prayer setting forth relief sought and signature, name, address, and telephone number of the person seeking review or that person’s representative, or shall be on a form prescribed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applicant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stewards shall monitor, supervise, and regulate the activities of occupational and pari-mutuel racetrack licensees. A steward may investigate any questionable conduct by a licensee for any violation of the rules or statutes. Any steward may refer an investigation to the board of stewards upon suspicion that a licensee or nonlicensee has committed a violation of the rules or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A steward shall summarily suspend an occupational license when a licensee has been formally arrested or charged with a crime that would disqualify the licensee, if convicted, from holding a license and the steward determines that the licensee poses an immediate danger to the public health, safety, or welfare of the patrons, participants, or animals associated with a facility licensed under Iowa Code chapter </w:t>
      </w:r>
      <w:hyperlink r:id="rId1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Upon proof of resolution of a disqualifying criminal charge or formal arrest, regardless of summary suspension of a license, the stewards shall take one of the following courses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was summarily suspended and the charges are dismissed or the licensee is acquitted of the charges, the stewards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is convicted of the charges, the stewards shall deny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is convicted of a lesser charge, it is at the discretion of the stewards whether to reinstate or deny the license pursuant to </w:t>
      </w:r>
      <w:hyperlink r:id="rId18">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stewards may summarily suspend an occupational license in accordance with rule </w:t>
      </w:r>
      <w:hyperlink r:id="rId19">
        <w:r>
          <w:rPr>
            <w:rStyle w:val="Hyperlink"/>
            <w:rFonts w:ascii="Times New Roman" w:hAnsi="Times New Roman"/>
            <w:b w:val="false"/>
            <w:i w:val="false"/>
            <w:color w:val="000000"/>
            <w:sz w:val="22"/>
          </w:rPr>
          <w:t>491—4.47(17A)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before the board of stewards intended to implement Iowa Code section </w:t>
      </w:r>
      <w:hyperlink r:id="rId20">
        <w:r>
          <w:rPr>
            <w:rStyle w:val="Hyperlink"/>
            <w:rFonts w:ascii="Times New Roman" w:hAnsi="Times New Roman"/>
            <w:b w:val="false"/>
            <w:i w:val="false"/>
            <w:color w:val="000000"/>
            <w:sz w:val="22"/>
          </w:rPr>
          <w:t>99D.7(13)</w:t>
        </w:r>
      </w:hyperlink>
      <w:r>
        <w:rPr>
          <w:rFonts w:ascii="Times New Roman" w:hAnsi="Times New Roman"/>
          <w:b w:val="false"/>
          <w:i w:val="false"/>
          <w:color w:val="000000"/>
          <w:sz w:val="22"/>
        </w:rPr>
        <w:t xml:space="preserve"> shall be conducted under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finding of reasonable cause, the board shall schedule a hearing to which the license holder shall be summoned for the purpose of investigating suspected or alleged misconduct by the license holder. The license holder may request a continuance in writing for good cause not less than 24 hours prior to the hearing except in cases of unanticipated emergencies. The continuance need not necessarily stay any intermediate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hearing given to the license holder shall give adequate notice of the time, place and purpose of the board’s hearing and shall specify by number the statutes or rules allegedly violated. If a license holder, after receiving adequate notice of a board meeting, fails to appear as summoned, the license holder will be deemed to have waived any right to appear and present evidence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has complete and total authority to decide the process of the hearing. The administrator may designate an employee to assist and advise the board of stewards through all aspects of the hearing process. The board shall recognize witnesses and either question the witnesses or allow them to give a narrative account of the facts relevant to the case. The board may request additional documents or witnesses before making a decision. The licensee has no right to present testimony, cross-examine witnesses, make objections, or present argument, unless specifically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duty and obligation of every licensee to make full disclosure at a hearing before the board of any knowledge possessed regarding the violation of any rule, regulation or law concerning racing and gaming in Iowa. No person may refuse to testify before the board at any hearing on any relevant matter within the authority of the board, except in the proper exercise of a legal privilege. No person shall falsely testify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not holders of a license or occupational license and who have allegedly violated commission rules or statute, or whose presence at a track is allegedly undesirable, are subject to the authority of the board and to any penalties, as set forth in rule </w:t>
      </w:r>
      <w:hyperlink r:id="rId21">
        <w:r>
          <w:rPr>
            <w:rStyle w:val="Hyperlink"/>
            <w:rFonts w:ascii="Times New Roman" w:hAnsi="Times New Roman"/>
            <w:b w:val="false"/>
            <w:i w:val="false"/>
            <w:color w:val="000000"/>
            <w:sz w:val="22"/>
          </w:rPr>
          <w:t>491—4.7</w:t>
        </w:r>
      </w:hyperlink>
      <w:r>
        <w:rPr>
          <w:rFonts w:ascii="Times New Roman" w:hAnsi="Times New Roman"/>
          <w:b w:val="false"/>
          <w:i w:val="false"/>
          <w:color w:val="000000"/>
          <w:sz w:val="22"/>
        </w:rPr>
        <w:t>(99D,99F).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of stewards has the power to interpret the rules and to decide all questions not specifically covered by them. The board of stewards has the power to determine all questions arising with reference to the conduct of racing, and the authority to decide any question or dispute relating to racing in compliance with rules promulgated by the commission or policies approved for licensees, and persons participating in licensed racing or gaming agree in so doing to recognize and accept that authority. The board may also suspend the license of any license holder when the board has reasonable cause to believe that a violation of law or rule has been committed and that the continued performance of that individual in a licensed capacity would be injurious to the best interests of racing or gaming.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board of stewards shall enter a written decision after each hearing. The decision shall state whether there is a violation of the rules or statutes and, if so, shall briefly set forth the legal and factual basis for the finding. The decision shall also establish a penalty for any violation. The board of stewards has the authority to impose any penalty,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licensee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A steward may eject and exclude any person from the premises of a pari-mutuel racetrack, excursion gambling boat, or gambling structure for any reason justified by the rules or statutes. The steward may provide notice of ejection or exclusion orally or in writing. The steward may define the scope of the exclusion to any degree necessary to protect the integrity of racing and gaming in Iowa. The steward may exclude the person for a certain or indefinite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other powers and duties set forth in the statutes and rules, and as assigned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val="false"/>
          <w:color w:val="000000"/>
          <w:sz w:val="22"/>
        </w:rPr>
        <w:t>Informal settlements. A licensee may enter into a written stipulation representing an informed mutual consent with the stewards. This stipulation must specifically outline the violation and the penalty imposed. Stipulations must be approved by the board of stewards. Stipulations are considered final agency action and cannot be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491—4.7</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Penalties (gaming board and board of stewards). </w:t>
      </w:r>
      <w:r>
        <w:rPr>
          <w:rFonts w:ascii="Times New Roman" w:hAnsi="Times New Roman"/>
          <w:b w:val="false"/>
          <w:i w:val="false"/>
          <w:color w:val="000000"/>
          <w:sz w:val="22"/>
        </w:rPr>
        <w:t>All penalties imposed will be promptly reported to the commission and facility or other licensed entity in writing. The board may impose one or more of the following penalties: eject and exclude an individual from a facility; revoke a license; suspend a license for up to five years from the date of the original suspension; place a license on probation; deny a license; impose a fine; or order a redistribution of a racing purse or the payment of or the withholding of a gaming payout. The board of stewards may impose a fine of up to $1,000, and the gaming board may impose a fine of up to $3,000. The board may set the dates for which the suspension must be served. The board may also suspend the license of any person currently under suspension or in bad standing in any other state or jurisdiction by a state racing or gaming commission. If the punishment so imposed is not sufficient, in the opinion of the board, the board shall so report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Fines shall be paid within ten calendar days of receipt of the ruling, by the end of business hours, at any commission office. Nonpayment or late payment of a fine may result in an immediate license suspension. All fines are to be paid by the individual assessed the fine.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If the fine is appealed to the board, the appeals process will not stay the fine. The fine will be due as defined in subrule 4.7(1).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val="false"/>
          <w:color w:val="000000"/>
          <w:sz w:val="22"/>
        </w:rPr>
        <w:t>If the party is successful in the appeal, the amount of the fine will be refunded to the party as soon as possible after the date the decision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val="false"/>
          <w:color w:val="000000"/>
          <w:sz w:val="22"/>
        </w:rPr>
        <w:t>Refunds due under subrule 4.7(3) will be mailed to the party’s current address 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val="false"/>
          <w:color w:val="000000"/>
          <w:sz w:val="22"/>
        </w:rPr>
        <w:t>When a racing animal or the holder of an occupational license is suspended by the board at one location, the suspension shall immediately become effective at all other facilities under the jurisdiction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491—4.8</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Effect of another jurisdiction’s order. </w:t>
      </w:r>
      <w:r>
        <w:rPr>
          <w:rFonts w:ascii="Times New Roman" w:hAnsi="Times New Roman"/>
          <w:b w:val="false"/>
          <w:i w:val="false"/>
          <w:color w:val="000000"/>
          <w:sz w:val="22"/>
        </w:rPr>
        <w:t>The commission or board may take appropriate action against a license holder or other person who has been excluded from a track or gaming establishment in another jurisdiction to exclude that person from any track or gaming establishment under the commission’s jurisdiction. Proceedings shall be conducted in the same manner as prescribed by these rules for determining misconduct on Iowa tracks or in gaming establishments and shall be subject to the same appeal procedures.</w:t>
      </w:r>
    </w:p>
    <w:p>
      <w:pPr>
        <w:spacing w:before="0" w:after="0"/>
        <w:ind w:left="120"/>
        <w:jc w:val="both"/>
      </w:pPr>
      <w:r>
        <w:rPr>
          <w:rFonts w:ascii="Times New Roman" w:hAnsi="Times New Roman"/>
          <w:b w:val="false"/>
          <w:i w:val="false"/>
          <w:color w:val="000000"/>
          <w:sz w:val="22"/>
        </w:rPr>
        <w:t>The commission and stewards shall have discretion to honor rulings from other jurisdictions regarding license suspension or revocation or the eligibility of contestants. Whenever the commission decides to honor an order from another jurisdiction, the commission representatives shall schedule a hearing at which the licensee shall be required to show cause as to why the license should not be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491—4.9</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Service of administrative actions. </w:t>
      </w:r>
      <w:r>
        <w:rPr>
          <w:rFonts w:ascii="Times New Roman" w:hAnsi="Times New Roman"/>
          <w:b w:val="false"/>
          <w:i w:val="false"/>
          <w:color w:val="000000"/>
          <w:sz w:val="22"/>
        </w:rPr>
        <w:t>Any administrative action taken against an applicant or occupational licensee shall be served on the applicant or occupational licensee by personal service or by certified mail with return receipt requested to the last-known address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If the applicant or licensee is represented by legal counsel, a copy of the written decision shall also be provided to legal counsel by regular mail. However, the applicant or licensee must still be served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If the administrative action involves an alleged medication violation that could result in disqualification of a contestant, the stewards shall provide by regular mail notice of the hearing and all subsequent rulings to the owner of the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491—4.10</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Appeals of administrative actions. </w:t>
      </w:r>
      <w:r>
        <w:rPr>
          <w:rFonts w:ascii="Times New Roman" w:hAnsi="Times New Roman"/>
          <w:b w:val="false"/>
          <w:i w:val="false"/>
          <w:color w:val="000000"/>
          <w:sz w:val="22"/>
        </w:rPr>
        <w:t xml:space="preserve">A license applicant or an occupational licensee may appeal a denial, suspension or ruling. An appeal must be made in writing to the office of the gaming representative or the commission office in Des Moines. An appeal may also be filed by facsimile, electronic mail, or any other method as determined by the administrator. The appeal must be received within 72 hours of service of the decision and is not considered filed until received by the commission. For any appeal of a decision rendered pursuant to </w:t>
      </w:r>
      <w:hyperlink r:id="rId22">
        <w:r>
          <w:rPr>
            <w:rStyle w:val="Hyperlink"/>
            <w:rFonts w:ascii="Times New Roman" w:hAnsi="Times New Roman"/>
            <w:b w:val="false"/>
            <w:i w:val="false"/>
            <w:color w:val="000000"/>
            <w:sz w:val="22"/>
          </w:rPr>
          <w:t>491—paragraph 10.4(4)</w:t>
        </w:r>
        <w:r>
          <w:rPr>
            <w:rFonts w:ascii="Times New Roman" w:hAnsi="Times New Roman"/>
            <w:b w:val="false"/>
            <w:i/>
            <w:color w:val="000000"/>
            <w:sz w:val="22"/>
          </w:rPr>
          <w:t>“d”</w:t>
        </w:r>
        <w:r>
          <w:rPr>
            <w:rFonts w:ascii="Times New Roman" w:hAnsi="Times New Roman"/>
            <w:b w:val="false"/>
            <w:i w:val="false"/>
            <w:color w:val="000000"/>
            <w:sz w:val="22"/>
          </w:rPr>
          <w:t>(3)“1,”</w:t>
        </w:r>
      </w:hyperlink>
      <w:r>
        <w:rPr>
          <w:rFonts w:ascii="Times New Roman" w:hAnsi="Times New Roman"/>
          <w:b w:val="false"/>
          <w:i w:val="false"/>
          <w:color w:val="000000"/>
          <w:sz w:val="22"/>
        </w:rPr>
        <w:t xml:space="preserve"> the appeal must be received within 72 hours of any such decision and the standard of review will be abuse of discretion. The appeal must contain numbered paragraphs and set forth the name of the person seeking review; the decision to be reviewed; separate assignments of error; clear and concise statement of relevant facts; reference to applicable statutes, rules or other authority; prayer setting forth relief sought; and signature, name, address, and telephone number of the person seeking review or that person’s representative; or shall be on a form prescribed by the commission. If a licensee is granted a stay of a suspension pursuant to </w:t>
      </w:r>
      <w:hyperlink r:id="rId23">
        <w:r>
          <w:rPr>
            <w:rStyle w:val="Hyperlink"/>
            <w:rFonts w:ascii="Times New Roman" w:hAnsi="Times New Roman"/>
            <w:b w:val="false"/>
            <w:i w:val="false"/>
            <w:color w:val="000000"/>
            <w:sz w:val="22"/>
          </w:rPr>
          <w:t>491—4.45(17A)</w:t>
        </w:r>
      </w:hyperlink>
      <w:r>
        <w:rPr>
          <w:rFonts w:ascii="Times New Roman" w:hAnsi="Times New Roman"/>
          <w:b w:val="false"/>
          <w:i w:val="false"/>
          <w:color w:val="000000"/>
          <w:sz w:val="22"/>
        </w:rPr>
        <w:t xml:space="preserve"> and the ruling is upheld in a contested case proceeding, the board of stewards may reassign the dates of suspension so that the suspension dates are served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6/19/87, Notice 5/6/87—published 7/15/87, effective 8/20/87]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1/12/91—published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12/12/91—published 1/8/92, effective 12/12/91]</w:t>
      </w:r>
    </w:p>
    <w:p>
      <w:pPr>
        <w:spacing w:before="0" w:after="0"/>
        <w:ind w:left="120"/>
        <w:jc w:val="center"/>
      </w:pPr>
      <w:r>
        <w:rPr>
          <w:rFonts w:ascii="Times New Roman" w:hAnsi="Times New Roman"/>
          <w:b w:val="false"/>
          <w:i w:val="false"/>
          <w:color w:val="000000"/>
          <w:sz w:val="21"/>
        </w:rPr>
        <w:t>[Filed 2/12/92, Notice 1/8/92—published 3/4/92, effective 4/8/92]</w:t>
      </w:r>
    </w:p>
    <w:p>
      <w:pPr>
        <w:spacing w:before="0" w:after="0"/>
        <w:ind w:left="120"/>
        <w:jc w:val="center"/>
      </w:pPr>
      <w:r>
        <w:rPr>
          <w:rFonts w:ascii="Times New Roman" w:hAnsi="Times New Roman"/>
          <w:b w:val="false"/>
          <w:i w:val="false"/>
          <w:color w:val="000000"/>
          <w:sz w:val="21"/>
        </w:rPr>
        <w:t>[Filed 10/30/92, Notice 9/16/92—published 11/25/92, effective 1/6/93]</w:t>
      </w:r>
    </w:p>
    <w:p>
      <w:pPr>
        <w:spacing w:before="0" w:after="0"/>
        <w:ind w:left="120"/>
        <w:jc w:val="center"/>
      </w:pPr>
      <w:r>
        <w:rPr>
          <w:rFonts w:ascii="Times New Roman" w:hAnsi="Times New Roman"/>
          <w:b w:val="false"/>
          <w:i w:val="false"/>
          <w:color w:val="000000"/>
          <w:sz w:val="21"/>
        </w:rPr>
        <w:t>[Filed 12/18/92, Notice 10/14/92—published 1/6/93, effective 2/10/93]</w:t>
      </w:r>
    </w:p>
    <w:p>
      <w:pPr>
        <w:spacing w:before="0" w:after="0"/>
        <w:ind w:left="120"/>
        <w:jc w:val="center"/>
      </w:pPr>
      <w:r>
        <w:rPr>
          <w:rFonts w:ascii="Times New Roman" w:hAnsi="Times New Roman"/>
          <w:b w:val="false"/>
          <w:i w:val="false"/>
          <w:color w:val="000000"/>
          <w:sz w:val="21"/>
        </w:rPr>
        <w:t>[Filed emergency 2/5/93—published 3/3/93, effective 2/5/93]</w:t>
      </w:r>
    </w:p>
    <w:p>
      <w:pPr>
        <w:spacing w:before="0" w:after="0"/>
        <w:ind w:left="120"/>
        <w:jc w:val="center"/>
      </w:pPr>
      <w:r>
        <w:rPr>
          <w:rFonts w:ascii="Times New Roman" w:hAnsi="Times New Roman"/>
          <w:b w:val="false"/>
          <w:i w:val="false"/>
          <w:color w:val="000000"/>
          <w:sz w:val="21"/>
        </w:rPr>
        <w:t>[Filed emergency 3/22/93—published 4/14/93, effective 3/22/93]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4/19/93—published 5/12/93, effective 4/19/93]</w:t>
      </w:r>
    </w:p>
    <w:p>
      <w:pPr>
        <w:spacing w:before="0" w:after="0"/>
        <w:ind w:left="120"/>
        <w:jc w:val="center"/>
      </w:pPr>
      <w:r>
        <w:rPr>
          <w:rFonts w:ascii="Times New Roman" w:hAnsi="Times New Roman"/>
          <w:b w:val="false"/>
          <w:i w:val="false"/>
          <w:color w:val="000000"/>
          <w:sz w:val="21"/>
        </w:rPr>
        <w:t>[Filed 4/19/93, Notice 3/3/93—published 5/12/93, effective 6/16/93]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7/23/93, Notice 5/12/93—published 8/18/93, effective 9/22/93]</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11/17/95, Notice 9/13/95—published 12/6/95, effective 1/10/96]</w:t>
      </w:r>
    </w:p>
    <w:p>
      <w:pPr>
        <w:spacing w:before="0" w:after="0"/>
        <w:ind w:left="120"/>
        <w:jc w:val="center"/>
      </w:pPr>
      <w:r>
        <w:rPr>
          <w:rFonts w:ascii="Times New Roman" w:hAnsi="Times New Roman"/>
          <w:b w:val="false"/>
          <w:i w:val="false"/>
          <w:color w:val="000000"/>
          <w:sz w:val="21"/>
        </w:rPr>
        <w:t>[Filed 1/23/96, Notice 12/6/95—published 2/14/96, effective 3/20/96]</w:t>
      </w:r>
    </w:p>
    <w:p>
      <w:pPr>
        <w:spacing w:before="0" w:after="0"/>
        <w:ind w:left="120"/>
        <w:jc w:val="center"/>
      </w:pPr>
      <w:r>
        <w:rPr>
          <w:rFonts w:ascii="Times New Roman" w:hAnsi="Times New Roman"/>
          <w:b w:val="false"/>
          <w:i w:val="false"/>
          <w:color w:val="000000"/>
          <w:sz w:val="21"/>
        </w:rPr>
        <w:t>[Filed 1/17/97, Notice 11/6/96—published 2/12/97, effective 3/19/97]</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9/19/97, Notice 8/13/97—published 10/8/97, effective 11/12/97]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11/23/98, Notice 10/7/98—published 12/16/98, effective 1/20/99]</w:t>
      </w:r>
    </w:p>
    <w:p>
      <w:pPr>
        <w:spacing w:before="0" w:after="0"/>
        <w:ind w:left="120"/>
        <w:jc w:val="center"/>
      </w:pPr>
      <w:r>
        <w:rPr>
          <w:rFonts w:ascii="Times New Roman" w:hAnsi="Times New Roman"/>
          <w:b w:val="false"/>
          <w:i w:val="false"/>
          <w:color w:val="000000"/>
          <w:sz w:val="21"/>
        </w:rPr>
        <w:t>[Filed 4/16/99, Notice 2/10/99—published 5/5/99, effective 6/9/99]</w:t>
      </w:r>
    </w:p>
    <w:p>
      <w:pPr>
        <w:spacing w:before="0" w:after="0"/>
        <w:ind w:left="120"/>
        <w:jc w:val="center"/>
      </w:pPr>
      <w:r>
        <w:rPr>
          <w:rFonts w:ascii="Times New Roman" w:hAnsi="Times New Roman"/>
          <w:b w:val="false"/>
          <w:i w:val="false"/>
          <w:color w:val="000000"/>
          <w:sz w:val="21"/>
        </w:rPr>
        <w:t>[Filed 6/18/99, Notice 5/5/99—published 7/14/99, effective 8/18/99]</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5/17/02, Notice 4/3/02—published 6/12/02, effective 7/17/02]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1456C</w:t>
      </w:r>
      <w:r>
        <w:rPr>
          <w:rFonts w:ascii="Times New Roman" w:hAnsi="Times New Roman"/>
          <w:b w:val="false"/>
          <w:i w:val="false"/>
          <w:color w:val="000000"/>
          <w:sz w:val="21"/>
        </w:rPr>
        <w:t xml:space="preserve"> (Notice ARC 1310C, IAB 2/5/14)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7634C</w:t>
      </w:r>
      <w:r>
        <w:rPr>
          <w:rFonts w:ascii="Times New Roman" w:hAnsi="Times New Roman"/>
          <w:b w:val="false"/>
          <w:i w:val="false"/>
          <w:color w:val="000000"/>
          <w:sz w:val="21"/>
        </w:rPr>
        <w:t xml:space="preserve"> (Notice ARC 7070C, IAB 9/20/23)</w:t>
      </w:r>
      <w:r>
        <w:rPr>
          <w:rFonts w:ascii="Times New Roman" w:hAnsi="Times New Roman"/>
          <w:b w:val="false"/>
          <w:i w:val="false"/>
          <w:color w:val="000000"/>
          <w:sz w:val="21"/>
        </w:rPr>
        <w:t>, IAB 2/21/24, effective 3/27/24]</w:t>
      </w:r>
    </w:p>
    <w:p>
      <w:pPr>
        <w:spacing w:before="0" w:after="0"/>
        <w:ind w:left="120"/>
        <w:jc w:val="center"/>
      </w:pPr>
      <w:r>
        <w:rPr>
          <w:rFonts w:ascii="Times New Roman" w:hAnsi="Times New Roman"/>
          <w:b w:val="false"/>
          <w:i w:val="false"/>
          <w:color w:val="000000"/>
          <w:sz w:val="21"/>
        </w:rPr>
        <w:t>[Editorial change: IAC Supplement 3/6/24]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June 19, 2013, effective date of 4.10 [Item 10 of ARC 0734C] delayed until the adjournment of the 2014 General Assembly by the Administrative Rules Review Committee at its meeting held June 11, 2013.</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E.pdf" Type="http://schemas.openxmlformats.org/officeDocument/2006/relationships/hyperlink" Id="rId9"/>
    <Relationship TargetMode="External" Target="https://www.legis.iowa.gov/docs/ico/chapter/99F.pdf" Type="http://schemas.openxmlformats.org/officeDocument/2006/relationships/hyperlink" Id="rId10"/>
    <Relationship TargetMode="External" Target="https://www.legis.iowa.gov/docs/iac/chapter/491.6.pdf" Type="http://schemas.openxmlformats.org/officeDocument/2006/relationships/hyperlink" Id="rId11"/>
    <Relationship TargetMode="External" Target="https://www.legis.iowa.gov/docs/ico/chapter/730.5.pdf" Type="http://schemas.openxmlformats.org/officeDocument/2006/relationships/hyperlink" Id="rId12"/>
    <Relationship TargetMode="External" Target="https://www.legis.iowa.gov/docs/ico/chapter/99F.4.pdf" Type="http://schemas.openxmlformats.org/officeDocument/2006/relationships/hyperlink" Id="rId13"/>
    <Relationship TargetMode="External" Target="https://www.legis.iowa.gov/docs/iac/rule/491.4.47.pdf" Type="http://schemas.openxmlformats.org/officeDocument/2006/relationships/hyperlink" Id="rId14"/>
    <Relationship TargetMode="External" Target="https://www.legis.iowa.gov/docs/iac/rule/491.4.7.pdf" Type="http://schemas.openxmlformats.org/officeDocument/2006/relationships/hyperlink" Id="rId15"/>
    <Relationship TargetMode="External" Target="https://www.legis.iowa.gov/docs/ico/chapter/99D.pdf" Type="http://schemas.openxmlformats.org/officeDocument/2006/relationships/hyperlink" Id="rId16"/>
    <Relationship TargetMode="External" Target="https://www.legis.iowa.gov/docs/ico/chapter/99F.pdf" Type="http://schemas.openxmlformats.org/officeDocument/2006/relationships/hyperlink" Id="rId17"/>
    <Relationship TargetMode="External" Target="https://www.legis.iowa.gov/docs/iac/chapter/491.6.pdf" Type="http://schemas.openxmlformats.org/officeDocument/2006/relationships/hyperlink" Id="rId18"/>
    <Relationship TargetMode="External" Target="https://www.legis.iowa.gov/docs/iac/rule/491.4.47.pdf" Type="http://schemas.openxmlformats.org/officeDocument/2006/relationships/hyperlink" Id="rId19"/>
    <Relationship TargetMode="External" Target="https://www.legis.iowa.gov/docs/ico/chapter/99D.7.pdf" Type="http://schemas.openxmlformats.org/officeDocument/2006/relationships/hyperlink" Id="rId20"/>
    <Relationship TargetMode="External" Target="https://www.legis.iowa.gov/docs/iac/rule/491.4.7.pdf" Type="http://schemas.openxmlformats.org/officeDocument/2006/relationships/hyperlink" Id="rId21"/>
    <Relationship TargetMode="External" Target="https://www.legis.iowa.gov/docs/iac/rule/491.10.4.pdf" Type="http://schemas.openxmlformats.org/officeDocument/2006/relationships/hyperlink" Id="rId22"/>
    <Relationship TargetMode="External" Target="https://www.legis.iowa.gov/docs/iac/rule/491.4.4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99D.pdf" Type="http://schemas.openxmlformats.org/officeDocument/2006/relationships/hyperlink" Id="rId25"/>
    <Relationship TargetMode="External" Target="https://www.legis.iowa.gov/docs/ico/chapter/99F.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