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491—3.1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“racing and gaming commission”.</w:t>
      </w:r>
    </w:p>
    <w:p>
      <w:pPr>
        <w:spacing w:before="210" w:after="0"/>
        <w:ind w:left="120"/>
        <w:jc w:val="both"/>
      </w:pPr>
      <w:r>
        <w:rPr>
          <w:rFonts w:ascii="Times New Roman" w:hAnsi="Times New Roman"/>
          <w:b/>
          <w:i w:val="false"/>
          <w:color w:val="000000"/>
          <w:sz w:val="22"/>
        </w:rPr>
        <w:t>491—3.3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491—3.9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491—3.10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491—3.11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491—3.12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491—3.13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491—3.14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commission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Board of stewards or gaming board hearings and contested case records. </w:t>
      </w:r>
      <w:r>
        <w:rPr>
          <w:rFonts w:ascii="Times New Roman" w:hAnsi="Times New Roman"/>
          <w:b w:val="false"/>
          <w:i w:val="false"/>
          <w:color w:val="000000"/>
          <w:sz w:val="22"/>
        </w:rPr>
        <w:t>Records are maintained in paper and computer files and contain names and identifying numbers of people involved. Evidence and documents submitted as a result of a hearing are contained in the board of stewards or gaming board hearing or contested case records as well as summary lists of enforcement activities.</w:t>
      </w:r>
    </w:p>
    <w:p>
      <w:pPr>
        <w:spacing w:before="0" w:after="0"/>
        <w:ind w:left="120"/>
        <w:jc w:val="both"/>
      </w:pPr>
      <w:r>
        <w:rPr>
          <w:rFonts w:ascii="Times New Roman" w:hAnsi="Times New Roman"/>
          <w:b w:val="false"/>
          <w:i w:val="false"/>
          <w:color w:val="000000"/>
          <w:sz w:val="22"/>
        </w:rPr>
        <w:t xml:space="preserve">Records are collected by authority of Iowa Code chapters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licensing. </w:t>
      </w:r>
      <w:r>
        <w:rPr>
          <w:rFonts w:ascii="Times New Roman" w:hAnsi="Times New Roman"/>
          <w:b w:val="false"/>
          <w:i w:val="false"/>
          <w:color w:val="000000"/>
          <w:sz w:val="22"/>
        </w:rPr>
        <w:t xml:space="preserve">Records associated with occupational licensing conducted under Iowa Code chapters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are maintained by this commission. The licensing system of records includes numerous files and crossfiles which include but are not limited to: computer storage of licensing records and photos, fingerprint cards, and license applications. The records associated with occupational licenses, which contain personally identifiable information, are open for public inspection only upon the approval of the administrator or the administrator’s designee. The information stored in a data processing system is not compared with information in any other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List of contested cases and stewards’ hearings. </w:t>
      </w:r>
      <w:r>
        <w:rPr>
          <w:rFonts w:ascii="Times New Roman" w:hAnsi="Times New Roman"/>
          <w:b w:val="false"/>
          <w:i w:val="false"/>
          <w:color w:val="000000"/>
          <w:sz w:val="22"/>
        </w:rPr>
        <w:t xml:space="preserve">The commission may utilize a listing of contested case and stewards’ hearings furnished by a national organization and provide individually identifiable information to that organization. The list is used for purposes delineated in Iowa Code chapter </w:t>
      </w:r>
      <w:hyperlink r:id="rId1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1/23/96, Notice 12/6/95—published 2/14/96, effective 3/20/96]</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5075C</w:t>
      </w:r>
      <w:r>
        <w:rPr>
          <w:rFonts w:ascii="Times New Roman" w:hAnsi="Times New Roman"/>
          <w:b w:val="false"/>
          <w:i w:val="false"/>
          <w:color w:val="000000"/>
          <w:sz w:val="21"/>
        </w:rPr>
        <w:t xml:space="preserve"> (Notice ARC 5026C, IAB 4/8/20)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[Editorial change: IAC Supplement 3/6/24]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E.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E.pdf" Type="http://schemas.openxmlformats.org/officeDocument/2006/relationships/hyperlink" Id="rId9"/>
    <Relationship TargetMode="External" Target="https://www.legis.iowa.gov/docs/ico/chapter/99F.pdf" Type="http://schemas.openxmlformats.org/officeDocument/2006/relationships/hyperlink" Id="rId10"/>
    <Relationship TargetMode="External" Target="https://www.legis.iowa.gov/docs/ico/chapter/99D.pdf" Type="http://schemas.openxmlformats.org/officeDocument/2006/relationships/hyperlink" Id="rId11"/>
    <Relationship TargetMode="External" Target="https://www.legis.iowa.gov/docs/ico/chapter/22.11.pdf" Type="http://schemas.openxmlformats.org/officeDocument/2006/relationships/hyperlink" Id="rId12"/>
    <Relationship TargetMode="External" Target="https://www.legis.iowa.gov/docs/ico/chapter/99D.pdf" Type="http://schemas.openxmlformats.org/officeDocument/2006/relationships/hyperlink" Id="rId13"/>
    <Relationship TargetMode="External" Target="https://www.legis.iowa.gov/docs/ico/chapter/17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