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2503</w:t>
      </w:r>
    </w:p>
    <w:p>
      <w:pPr>
        <w:spacing w:before="0" w:after="0"/>
        <w:ind w:left="120"/>
        <w:jc w:val="center"/>
      </w:pPr>
      <w:r>
        <w:rPr>
          <w:rFonts w:ascii="Times New Roman" w:hAnsi="Times New Roman"/>
          <w:b w:val="false"/>
          <w:i w:val="false"/>
          <w:color w:val="000000"/>
          <w:sz w:val="21"/>
        </w:rPr>
        <w:t>DECLARATORY ORDERS—MODIFICATIONS TO UNIFORM RULES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The Uniform Rules on Agency Procedure, </w:t>
      </w:r>
      <w:hyperlink r:id="rId5">
        <w:r>
          <w:rPr>
            <w:rStyle w:val="Hyperlink"/>
            <w:rFonts w:ascii="Times New Roman" w:hAnsi="Times New Roman"/>
            <w:b w:val="false"/>
            <w:i w:val="false"/>
            <w:color w:val="000000"/>
            <w:sz w:val="22"/>
          </w:rPr>
          <w:t>7—Chapters 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0296D</w:t>
      </w:r>
      <w:r>
        <w:rPr>
          <w:rFonts w:ascii="Times New Roman" w:hAnsi="Times New Roman"/>
          <w:b w:val="false"/>
          <w:i w:val="false"/>
          <w:color w:val="000000"/>
          <w:sz w:val="16"/>
        </w:rPr>
        <w:t>, IAB 5/27/26,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491—2503.3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in declaratory order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2503.3(3)</w:t>
      </w:r>
      <w:r>
        <w:rPr>
          <w:rFonts w:ascii="Times New Roman" w:hAnsi="Times New Roman"/>
          <w:b w:val="false"/>
          <w:i w:val="false"/>
          <w:color w:val="000000"/>
          <w:sz w:val="22"/>
        </w:rPr>
        <w:t> </w:t>
      </w:r>
      <w:r>
        <w:rPr>
          <w:rFonts w:ascii="Times New Roman" w:hAnsi="Times New Roman"/>
          <w:b w:val="false"/>
          <w:i w:val="false"/>
          <w:color w:val="000000"/>
          <w:sz w:val="22"/>
        </w:rPr>
        <w:t>An intervenor seeking to intervene in a declaratory order proceeding is obligated to file the petition for intervention with the commission. The petition for intervention is considered filed when received either in hard copy or by email. The commission will provide the intervenor with a file-stamped copy of the petition upon request. The commission will only accept petitions for intervention that are typewritten or legibly handwritten in ink. Intervenors are also obligated to submit the petition so that it substantially conforms with the following:</w:t>
      </w:r>
    </w:p>
    <w:p>
      <w:pPr>
        <w:spacing w:before="60" w:after="0"/>
        <w:ind w:left="120"/>
        <w:jc w:val="center"/>
      </w:pPr>
      <w:r>
        <w:rPr>
          <w:rFonts w:ascii="Times New Roman" w:hAnsi="Times New Roman"/>
          <w:b w:val="false"/>
          <w:i w:val="false"/>
          <w:color w:val="000000"/>
          <w:sz w:val="22"/>
        </w:rPr>
        <w:t>BEFORE THE IOWA RACING AND GAMING COMMISSION</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5595"/>
        <w:gridCol w:w="5595"/>
      </w:tblGrid>
      <w:tr>
        <w:trPr>
          <w:trHeight w:val="1170" w:hRule="atLeast"/>
        </w:trPr>
        <w:tc>
          <w:tcPr>
            <w:tcW w:w="5595" w:type="dxa"/>
            <w:tcBorders/>
            <w:tcMar>
              <w:top w:w="30" w:type="dxa"/>
              <w:left w:w="30" w:type="dxa"/>
              <w:bottom w:w="15" w:type="dxa"/>
              <w:right w:w="30" w:type="dxa"/>
            </w:tcMar>
            <w:vAlign w:val="center"/>
          </w:tcPr>
          <w:p>
            <w:pPr>
              <w:spacing w:before="0" w:after="0"/>
              <w:ind w:left="0"/>
              <w:jc w:val="left"/>
            </w:pPr>
            <w:r>
              <w:br/>
            </w:r>
            <w:r>
              <w:rPr>
                <w:rFonts w:ascii="Times New Roman" w:hAnsi="Times New Roman"/>
                <w:b w:val="false"/>
                <w:i w:val="false"/>
                <w:color w:val="000000"/>
                <w:sz w:val="20"/>
              </w:rPr>
              <w:t>Petition by [name of original petitioner]</w:t>
            </w:r>
            <w:r>
              <w:br/>
            </w:r>
            <w:r>
              <w:rPr>
                <w:rFonts w:ascii="Times New Roman" w:hAnsi="Times New Roman"/>
                <w:b w:val="false"/>
                <w:i w:val="false"/>
                <w:color w:val="000000"/>
                <w:sz w:val="20"/>
              </w:rPr>
              <w:t xml:space="preserve"> For a declaratory order regarding</w:t>
            </w:r>
            <w:r>
              <w:br/>
            </w:r>
            <w:r>
              <w:rPr>
                <w:rFonts w:ascii="Times New Roman" w:hAnsi="Times New Roman"/>
                <w:b w:val="false"/>
                <w:i w:val="false"/>
                <w:color w:val="000000"/>
                <w:sz w:val="20"/>
              </w:rPr>
              <w:t xml:space="preserve"> [applicable statutes or rules].</w:t>
            </w:r>
            <w:r>
              <w:br/>
            </w:r>
            <w:r>
              <w:br/>
            </w:r>
          </w:p>
        </w:tc>
        <w:tc>
          <w:tcPr>
            <w:tcW w:w="559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PETITION FOR INTERVENTION</w:t>
            </w:r>
          </w:p>
        </w:tc>
      </w:tr>
    </w:tbl>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Whether the intervenor is currently a party to any proceeding involving the questions at issue and whether, to the intervenor’s knowledge, those questions have been decided by, are pending determination by, or are under investigation by any agency or court of law.</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0296D</w:t>
      </w:r>
      <w:r>
        <w:rPr>
          <w:rFonts w:ascii="Times New Roman" w:hAnsi="Times New Roman"/>
          <w:b w:val="false"/>
          <w:i w:val="false"/>
          <w:color w:val="000000"/>
          <w:sz w:val="16"/>
        </w:rPr>
        <w:t>, IAB 5/27/26, effective 6/30/26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0296D, IAB 5/27/26, effective 6/30/26]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