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FANTASY SPORTS CONTESTS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491—14.1</w:t>
      </w:r>
      <w:r>
        <w:rPr>
          <w:rFonts w:ascii="Times New Roman" w:hAnsi="Times New Roman"/>
          <w:b/>
          <w:i w:val="false"/>
          <w:color w:val="000000"/>
          <w:sz w:val="22"/>
        </w:rPr>
        <w:t xml:space="preserve">(99E)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racing and gaming commission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internet fantasy sports contest service provider applying for a license to conduct internet fantasy sports contests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state racing and gaming commission created under Iowa Code section </w:t>
      </w:r>
      <w:hyperlink r:id="rId5">
        <w:r>
          <w:rPr>
            <w:rStyle w:val="Hyperlink"/>
            <w:rFonts w:ascii="Times New Roman" w:hAnsi="Times New Roman"/>
            <w:b w:val="false"/>
            <w:i w:val="false"/>
            <w:color w:val="000000"/>
            <w:sz w:val="22"/>
          </w:rPr>
          <w:t>99D.5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“Entry fee” </w:t>
      </w:r>
      <w:r>
        <w:rPr>
          <w:rFonts w:ascii="Times New Roman" w:hAnsi="Times New Roman"/>
          <w:b w:val="false"/>
          <w:i w:val="false"/>
          <w:color w:val="000000"/>
          <w:sz w:val="22"/>
        </w:rPr>
        <w:t>means cash or cash equivalent that is required to be paid by an internet fantasy sports contest player to an internet fantasy sports contest service provider in order to participate in a fantasy sports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“Fantasy sports contest”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“contest” </w:t>
      </w:r>
      <w:r>
        <w:rPr>
          <w:rFonts w:ascii="Times New Roman" w:hAnsi="Times New Roman"/>
          <w:b w:val="false"/>
          <w:i w:val="false"/>
          <w:color w:val="000000"/>
          <w:sz w:val="22"/>
        </w:rPr>
        <w:t>means a fantasy or simulated game or contest in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fantasy sports contest operator is not a participant in the game or contest;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value of all prizes and awards offered to winning participants are established and made known to the participants in advance of the contest;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winning outcomes reflect the relative knowledge and skill of the participants;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outcome shall be determined by accumulated statistical results of the performance of individuals, including athletes in the case of sporting events;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No winning outcome is solely based on the score, point spread, or any performance or performances of any single actual team or solely on any single performance of an individual athlete or player in any single actual event.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“Fantasy sports contest service provider” </w:t>
      </w:r>
      <w:r>
        <w:rPr>
          <w:rFonts w:ascii="Times New Roman" w:hAnsi="Times New Roman"/>
          <w:b w:val="false"/>
          <w:i w:val="false"/>
          <w:color w:val="000000"/>
          <w:sz w:val="22"/>
        </w:rPr>
        <w:t xml:space="preserve">means a person, including a licensee under Iowa Code chapter </w:t>
      </w:r>
      <w:hyperlink r:id="rId6">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who conducts an internet fantasy sports contest as authorized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“Highly experienced player” </w:t>
      </w:r>
      <w:r>
        <w:rPr>
          <w:rFonts w:ascii="Times New Roman" w:hAnsi="Times New Roman"/>
          <w:b w:val="false"/>
          <w:i w:val="false"/>
          <w:color w:val="000000"/>
          <w:sz w:val="22"/>
        </w:rPr>
        <w:t>means a person who has entered more than 1,000 contests conducted by a single fantasy sports contest service provider or has won more than three fantasy sports contest prizes of $1,000 or more from a single fantasy sports contest service provider. A fantasy sports contest provider may declare other players a “highly experienced player” so long as the provider’s criteria for declaration would include players previously declared a “highly experienced player”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controls” </w:t>
      </w:r>
      <w:r>
        <w:rPr>
          <w:rFonts w:ascii="Times New Roman" w:hAnsi="Times New Roman"/>
          <w:b w:val="false"/>
          <w:i w:val="false"/>
          <w:color w:val="000000"/>
          <w:sz w:val="22"/>
        </w:rPr>
        <w:t>means the fantasy sports contest service provider’s system of internal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licensed under Iowa Code section </w:t>
      </w:r>
      <w:hyperlink r:id="rId9">
        <w:r>
          <w:rPr>
            <w:rStyle w:val="Hyperlink"/>
            <w:rFonts w:ascii="Times New Roman" w:hAnsi="Times New Roman"/>
            <w:b w:val="false"/>
            <w:i w:val="false"/>
            <w:color w:val="000000"/>
            <w:sz w:val="22"/>
          </w:rPr>
          <w:t>99E.5</w:t>
        </w:r>
      </w:hyperlink>
      <w:r>
        <w:rPr>
          <w:rFonts w:ascii="Times New Roman" w:hAnsi="Times New Roman"/>
          <w:b w:val="false"/>
          <w:i w:val="false"/>
          <w:color w:val="000000"/>
          <w:sz w:val="22"/>
        </w:rPr>
        <w:t xml:space="preserve"> to conduct internet fantasy sports contests.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“Location percentage” </w:t>
      </w:r>
      <w:r>
        <w:rPr>
          <w:rFonts w:ascii="Times New Roman" w:hAnsi="Times New Roman"/>
          <w:b w:val="false"/>
          <w:i w:val="false"/>
          <w:color w:val="000000"/>
          <w:sz w:val="22"/>
        </w:rPr>
        <w:t>means, for each internet fantasy sports contest, the percentage, rounded to the nearest tenth of a percent, equal to the total charges and fees collected from all internet fantasy sports contest players located in this state divided by the total charges and fees collected from all participants in the internet fantasy sports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revenue” </w:t>
      </w:r>
      <w:r>
        <w:rPr>
          <w:rFonts w:ascii="Times New Roman" w:hAnsi="Times New Roman"/>
          <w:b w:val="false"/>
          <w:i w:val="false"/>
          <w:color w:val="000000"/>
          <w:sz w:val="22"/>
        </w:rPr>
        <w:t>means an amount equal to the total entry and administrative fees collected from all participants entering fantasy sports contests less winnings paid to participants in the contest, multiplied by the location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“Player”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“customer” </w:t>
      </w:r>
      <w:r>
        <w:rPr>
          <w:rFonts w:ascii="Times New Roman" w:hAnsi="Times New Roman"/>
          <w:b w:val="false"/>
          <w:i w:val="false"/>
          <w:color w:val="000000"/>
          <w:sz w:val="22"/>
        </w:rPr>
        <w:t>means a person who is at least 21 years of age and participates in an internet fantasy sports contest operated by an internet fantasy sports contest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“Prize” </w:t>
      </w:r>
      <w:r>
        <w:rPr>
          <w:rFonts w:ascii="Times New Roman" w:hAnsi="Times New Roman"/>
          <w:b w:val="false"/>
          <w:i w:val="false"/>
          <w:color w:val="000000"/>
          <w:sz w:val="22"/>
        </w:rPr>
        <w:t>means anything of value, including cash or a cash equivalent, contest credits, merchandise or entry to another contest in which a prize may be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“Script” </w:t>
      </w:r>
      <w:r>
        <w:rPr>
          <w:rFonts w:ascii="Times New Roman" w:hAnsi="Times New Roman"/>
          <w:b w:val="false"/>
          <w:i w:val="false"/>
          <w:color w:val="000000"/>
          <w:sz w:val="22"/>
        </w:rPr>
        <w:t>means a list of commands that a fantasy sports-related computer program can execute and is created by fantasy sports players, or by third parties for the use of all players, to automate processes on a fantasy sports contest internet platform.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491—14.2</w:t>
      </w:r>
      <w:r>
        <w:rPr>
          <w:rFonts w:ascii="Times New Roman" w:hAnsi="Times New Roman"/>
          <w:b/>
          <w:i w:val="false"/>
          <w:color w:val="000000"/>
          <w:sz w:val="22"/>
        </w:rPr>
        <w:t xml:space="preserve">(99E) </w:t>
      </w:r>
      <w:r>
        <w:rPr>
          <w:rFonts w:ascii="Times New Roman" w:hAnsi="Times New Roman"/>
          <w:b/>
          <w:i w:val="false"/>
          <w:color w:val="000000"/>
          <w:sz w:val="22"/>
        </w:rPr>
        <w:t xml:space="preserve">Application for fantasy sports contest service provider license and licensing. </w:t>
      </w:r>
      <w:r>
        <w:rPr>
          <w:rFonts w:ascii="Times New Roman" w:hAnsi="Times New Roman"/>
          <w:b w:val="false"/>
          <w:i w:val="false"/>
          <w:color w:val="000000"/>
          <w:sz w:val="22"/>
        </w:rPr>
        <w:t xml:space="preserve">A fantasy sports contest service provider must be licensed by the commission to offer an internet fantasy sports contest under Iowa Code chapter </w:t>
      </w:r>
      <w:hyperlink r:id="rId10">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Any individuals who are required to be occupationally licensed by the commission shall comply with the license requirements of Iowa Code section </w:t>
      </w:r>
      <w:hyperlink r:id="rId11">
        <w:r>
          <w:rPr>
            <w:rStyle w:val="Hyperlink"/>
            <w:rFonts w:ascii="Times New Roman" w:hAnsi="Times New Roman"/>
            <w:b w:val="false"/>
            <w:i w:val="false"/>
            <w:color w:val="000000"/>
            <w:sz w:val="22"/>
          </w:rPr>
          <w:t>99E.5</w:t>
        </w:r>
      </w:hyperlink>
      <w:r>
        <w:rPr>
          <w:rFonts w:ascii="Times New Roman" w:hAnsi="Times New Roman"/>
          <w:b w:val="false"/>
          <w:i w:val="false"/>
          <w:color w:val="000000"/>
          <w:sz w:val="22"/>
        </w:rPr>
        <w:t xml:space="preserve"> and rules </w:t>
      </w:r>
      <w:hyperlink r:id="rId12">
        <w:r>
          <w:rPr>
            <w:rStyle w:val="Hyperlink"/>
            <w:rFonts w:ascii="Times New Roman" w:hAnsi="Times New Roman"/>
            <w:b w:val="false"/>
            <w:i w:val="false"/>
            <w:color w:val="000000"/>
            <w:sz w:val="22"/>
          </w:rPr>
          <w:t>491—6.2</w:t>
        </w:r>
      </w:hyperlink>
      <w:r>
        <w:rPr>
          <w:rFonts w:ascii="Times New Roman" w:hAnsi="Times New Roman"/>
          <w:b w:val="false"/>
          <w:i w:val="false"/>
          <w:color w:val="000000"/>
          <w:sz w:val="22"/>
        </w:rPr>
        <w:t xml:space="preserve">(99D,99E,99F,252J) to </w:t>
      </w:r>
      <w:hyperlink r:id="rId13">
        <w:r>
          <w:rPr>
            <w:rStyle w:val="Hyperlink"/>
            <w:rFonts w:ascii="Times New Roman" w:hAnsi="Times New Roman"/>
            <w:b w:val="false"/>
            <w:i w:val="false"/>
            <w:color w:val="000000"/>
            <w:sz w:val="22"/>
          </w:rPr>
          <w:t>491—6.13</w:t>
        </w:r>
      </w:hyperlink>
      <w:r>
        <w:rPr>
          <w:rFonts w:ascii="Times New Roman" w:hAnsi="Times New Roman"/>
          <w:b w:val="false"/>
          <w:i w:val="false"/>
          <w:color w:val="000000"/>
          <w:sz w:val="22"/>
        </w:rPr>
        <w:t xml:space="preserve">(99D,99F,272D). Occupational licensees are also subject to </w:t>
      </w:r>
      <w:hyperlink r:id="rId14">
        <w:r>
          <w:rPr>
            <w:rStyle w:val="Hyperlink"/>
            <w:rFonts w:ascii="Times New Roman" w:hAnsi="Times New Roman"/>
            <w:b w:val="false"/>
            <w:i w:val="false"/>
            <w:color w:val="000000"/>
            <w:sz w:val="22"/>
          </w:rPr>
          <w:t>491—Chapter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color w:val="000000"/>
          <w:sz w:val="22"/>
        </w:rPr>
        <w:t xml:space="preserve">Licensing standards. </w:t>
      </w:r>
      <w:r>
        <w:rPr>
          <w:rFonts w:ascii="Times New Roman" w:hAnsi="Times New Roman"/>
          <w:b w:val="false"/>
          <w:i w:val="false"/>
          <w:color w:val="000000"/>
          <w:sz w:val="22"/>
        </w:rPr>
        <w:t>Standards which shall be considered when determining the qualifications of an applicant shall include, but are not limited to, financial stability; business ability and experience; good character and reputation of the applicant as well as all directors, officers, partners, and employees and integrity of financial backers. For the purposes of this rule, the term “applicant” includes each member of the board of directors or other governing body of 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shall not grant a license to an applicant if there is substantial evidence that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 issued to the applicant to conduct internet fantasy sports contests in another jurisdiction has been revoked, or a request for a license to conduct internet fantasy sports contests in another jurisdiction has been denied, by an entity licensing persons to conduct such contests in that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not demonstrated financial responsibility sufficient to adequately meet the requirements of the enterprise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adequately disclose the true owners of the enterprise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has knowingly made a false statement of a material fact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has failed to meet a monetary obligation in connection with conducting an internet fantasy sports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is not of good repute and moral character or the applicant has pled guilty to, or has been convicted of, a felony.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member of the board of directors or governing body of the applicant is not 21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knowingly makes a false statement on the application is guilty of an aggravated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w:t>
      </w:r>
      <w:r>
        <w:rPr>
          <w:rFonts w:ascii="Times New Roman" w:hAnsi="Times New Roman"/>
          <w:b w:val="false"/>
          <w:i w:val="false"/>
          <w:color w:val="000000"/>
          <w:sz w:val="22"/>
        </w:rPr>
        <w:t>Application for an internet fantasy sports contest service provider license shall be made to the commission on the form prescribed and published by the commission. In addition to the application, the following must be completed and presented when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of ownership interest, directors, or officers of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identity and date of birth of each member of the board of directors or other governing body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identity of each director, corporate officer, owner, partner, joint venture participant, trustee, or any other person who has any beneficial interest of 5 percent or more, direct or indirect, in the business entity. For any of the above, as required by the administrator, the applicant or licensee shall submit background information on forms supplied by the division of criminal investigation and any other information the administrator may require. For purposes of this rule, the term “beneficial interest” includes all direct and indirect forms of ownership or control, voting power, or investment power held through any contract, lien, lease, partnership, stockholding, syndication, joint venture, understanding, relationship (including family relationship), present or reversionary right, title or interest,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ownership interests of less than 5 percent, the administrator may request a list of these interests. At a minimum, the list shall include names, percentages owned, addresses, social security numbers, and dates of birth. The administrator may request the same information required of those individuals in </w:t>
      </w:r>
      <w:hyperlink r:id="rId15">
        <w:r>
          <w:rPr>
            <w:rStyle w:val="Hyperlink"/>
            <w:rFonts w:ascii="Times New Roman" w:hAnsi="Times New Roman"/>
            <w:b w:val="false"/>
            <w:i w:val="false"/>
            <w:color w:val="000000"/>
            <w:sz w:val="22"/>
          </w:rPr>
          <w:t>subrule 14.2(1)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of employees of the aforementioned who may be conducting business directly or indirectly on behalf of the applicant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bond or irrevocable letter of credit on behalf of the applicant or other satisfactory evidence, as determined by the commission, of a safe and reliable means of fulfilling the applicant’s obligations to customers and the state of Iowa in an amount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w:t>
      </w:r>
      <w:r>
        <w:rPr>
          <w:rFonts w:ascii="Times New Roman" w:hAnsi="Times New Roman"/>
          <w:b w:val="false"/>
          <w:i w:val="false"/>
          <w:color w:val="000000"/>
          <w:sz w:val="22"/>
        </w:rPr>
        <w:t> </w:t>
      </w:r>
      <w:r>
        <w:rPr>
          <w:rFonts w:ascii="Times New Roman" w:hAnsi="Times New Roman"/>
          <w:b w:val="false"/>
          <w:i/>
          <w:color w:val="000000"/>
          <w:sz w:val="22"/>
        </w:rPr>
        <w:t xml:space="preserve">Investigative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Advance payment. The department of public safety may request payment of the investigative fee in advance as a condition to beginning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required. The administrator may withhold final action with respect to any application until all investigative fees have been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A bank or cashier’s check shall be made payable to Iowa Racing and Gaming Commission for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14.2(5)</w:t>
      </w:r>
      <w:r>
        <w:rPr>
          <w:rFonts w:ascii="Times New Roman" w:hAnsi="Times New Roman"/>
          <w:b w:val="false"/>
          <w:i w:val="false"/>
          <w:color w:val="000000"/>
          <w:sz w:val="22"/>
        </w:rPr>
        <w:t> </w:t>
      </w:r>
      <w:r>
        <w:rPr>
          <w:rFonts w:ascii="Times New Roman" w:hAnsi="Times New Roman"/>
          <w:b w:val="false"/>
          <w:i/>
          <w:color w:val="000000"/>
          <w:sz w:val="22"/>
        </w:rPr>
        <w:t xml:space="preserve">Reporting of changes. </w:t>
      </w:r>
      <w:r>
        <w:rPr>
          <w:rFonts w:ascii="Times New Roman" w:hAnsi="Times New Roman"/>
          <w:b w:val="false"/>
          <w:i w:val="false"/>
          <w:color w:val="000000"/>
          <w:sz w:val="22"/>
        </w:rPr>
        <w:t>Any and all changes in the applicant’s legal structure, directors, officers, or the respective ownership interests must be promptly filed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14.2(6)</w:t>
      </w:r>
      <w:r>
        <w:rPr>
          <w:rFonts w:ascii="Times New Roman" w:hAnsi="Times New Roman"/>
          <w:b w:val="false"/>
          <w:i w:val="false"/>
          <w:color w:val="000000"/>
          <w:sz w:val="22"/>
        </w:rPr>
        <w:t> </w:t>
      </w:r>
      <w:r>
        <w:rPr>
          <w:rFonts w:ascii="Times New Roman" w:hAnsi="Times New Roman"/>
          <w:b w:val="false"/>
          <w:i/>
          <w:color w:val="000000"/>
          <w:sz w:val="22"/>
        </w:rPr>
        <w:t xml:space="preserve">Ineligibility. </w:t>
      </w:r>
      <w:r>
        <w:rPr>
          <w:rFonts w:ascii="Times New Roman" w:hAnsi="Times New Roman"/>
          <w:b w:val="false"/>
          <w:i w:val="false"/>
          <w:color w:val="000000"/>
          <w:sz w:val="22"/>
        </w:rPr>
        <w:t>The administrator may deny, suspend, or revoke the license of an applicant or licensee in which a director, corporate officer, or holder of a beneficial interest includes or involves any person or entity which would be, or is, ineligible in any respect, such as through want of character, moral fitness, financial responsibility, or professional qualifications, or due to failure to meet other criteria employed by the administrator, to participate in gaming regardless of the percentage of ownership interest involved. The administrator may order the ineligible person or entity to terminate all relationships with the licensee or applicant, including divestiture of any ownership interest or beneficial interest at acquisition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14.2(7)</w:t>
      </w:r>
      <w:r>
        <w:rPr>
          <w:rFonts w:ascii="Times New Roman" w:hAnsi="Times New Roman"/>
          <w:b w:val="false"/>
          <w:i w:val="false"/>
          <w:color w:val="000000"/>
          <w:sz w:val="22"/>
        </w:rPr>
        <w:t> </w:t>
      </w:r>
      <w:r>
        <w:rPr>
          <w:rFonts w:ascii="Times New Roman" w:hAnsi="Times New Roman"/>
          <w:b w:val="false"/>
          <w:i/>
          <w:color w:val="000000"/>
          <w:sz w:val="22"/>
        </w:rPr>
        <w:t xml:space="preserve">Disclosure. </w:t>
      </w:r>
      <w:r>
        <w:rPr>
          <w:rFonts w:ascii="Times New Roman" w:hAnsi="Times New Roman"/>
          <w:b w:val="false"/>
          <w:i w:val="false"/>
          <w:color w:val="000000"/>
          <w:sz w:val="22"/>
        </w:rPr>
        <w:t>Disclosure of the full nature and extent of all beneficial interests may be requested by the administrator and shall include the names of individuals and entities, the nature of their relationships, and the exact nature of their beneficial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14.2(8)</w:t>
      </w:r>
      <w:r>
        <w:rPr>
          <w:rFonts w:ascii="Times New Roman" w:hAnsi="Times New Roman"/>
          <w:b w:val="false"/>
          <w:i w:val="false"/>
          <w:color w:val="000000"/>
          <w:sz w:val="22"/>
        </w:rPr>
        <w:t> </w:t>
      </w:r>
      <w:r>
        <w:rPr>
          <w:rFonts w:ascii="Times New Roman" w:hAnsi="Times New Roman"/>
          <w:b w:val="false"/>
          <w:i/>
          <w:color w:val="000000"/>
          <w:sz w:val="22"/>
        </w:rPr>
        <w:t xml:space="preserve">Public disclosure. </w:t>
      </w:r>
      <w:r>
        <w:rPr>
          <w:rFonts w:ascii="Times New Roman" w:hAnsi="Times New Roman"/>
          <w:b w:val="false"/>
          <w:i w:val="false"/>
          <w:color w:val="000000"/>
          <w:sz w:val="22"/>
        </w:rPr>
        <w:t>Disclosure is made for the benefit of the public, and all documents pertaining to the ownership filed with the administrator shall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14.2(9)</w:t>
      </w:r>
      <w:r>
        <w:rPr>
          <w:rFonts w:ascii="Times New Roman" w:hAnsi="Times New Roman"/>
          <w:b w:val="false"/>
          <w:i w:val="false"/>
          <w:color w:val="000000"/>
          <w:sz w:val="22"/>
        </w:rPr>
        <w:t> </w:t>
      </w:r>
      <w:r>
        <w:rPr>
          <w:rFonts w:ascii="Times New Roman" w:hAnsi="Times New Roman"/>
          <w:b w:val="false"/>
          <w:i/>
          <w:color w:val="000000"/>
          <w:sz w:val="22"/>
        </w:rPr>
        <w:t xml:space="preserve">Supplementary information. </w:t>
      </w:r>
      <w:r>
        <w:rPr>
          <w:rFonts w:ascii="Times New Roman" w:hAnsi="Times New Roman"/>
          <w:b w:val="false"/>
          <w:i w:val="false"/>
          <w:color w:val="000000"/>
          <w:sz w:val="22"/>
        </w:rPr>
        <w:t>Each applicant shall promptly furnish the administrator with all additional information pertaining to the application or the applicant which the administrator may require. Failure to supply the requested information within five days after the request has been received by the applicant shall constitute grounds for delaying consideration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14.2(10)</w:t>
      </w:r>
      <w:r>
        <w:rPr>
          <w:rFonts w:ascii="Times New Roman" w:hAnsi="Times New Roman"/>
          <w:b w:val="false"/>
          <w:i w:val="false"/>
          <w:color w:val="000000"/>
          <w:sz w:val="22"/>
        </w:rPr>
        <w:t> </w:t>
      </w:r>
      <w:r>
        <w:rPr>
          <w:rFonts w:ascii="Times New Roman" w:hAnsi="Times New Roman"/>
          <w:b w:val="false"/>
          <w:i/>
          <w:color w:val="000000"/>
          <w:sz w:val="22"/>
        </w:rPr>
        <w:t xml:space="preserve">Requirements placed upon applicants and licensees. </w:t>
      </w:r>
      <w:r>
        <w:rPr>
          <w:rFonts w:ascii="Times New Roman" w:hAnsi="Times New Roman"/>
          <w:b w:val="false"/>
          <w:i w:val="false"/>
          <w:color w:val="000000"/>
          <w:sz w:val="22"/>
        </w:rPr>
        <w:t xml:space="preserve">For purposes of this chapter, the requirements placed upon an applicant shall become a requirement to the licensee once a license has been granted. Every license is granted upon the condition that the license holder shall accept, observe, and enforce the rules and regulations of the commission. It is the affirmative responsibility and continuing duty of each officer, director, and employee of said license holder to comply with the requirements of the application and conditions of license and to observe and enforce the rules. The holding of a license is a privilege. The burden of proving qualifications for the privilege to receive any license is on the licensee at all times. A licensee must accept all risks of adverse public notice or public opinion, embarrassment, criticism, or financial loss that may result from action with respect to a license. Licensees further covenant and agree to hold harmless and indemnify the Iowa racing and gaming commission from any claim arising from any action of the commission in connection with that license.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491—14.3</w:t>
      </w:r>
      <w:r>
        <w:rPr>
          <w:rFonts w:ascii="Times New Roman" w:hAnsi="Times New Roman"/>
          <w:b/>
          <w:i w:val="false"/>
          <w:color w:val="000000"/>
          <w:sz w:val="22"/>
        </w:rPr>
        <w:t xml:space="preserve">(99E) </w:t>
      </w:r>
      <w:r>
        <w:rPr>
          <w:rFonts w:ascii="Times New Roman" w:hAnsi="Times New Roman"/>
          <w:b/>
          <w:i w:val="false"/>
          <w:color w:val="000000"/>
          <w:sz w:val="22"/>
        </w:rPr>
        <w:t xml:space="preserve">Temporary license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val="false"/>
          <w:color w:val="000000"/>
          <w:sz w:val="22"/>
        </w:rPr>
        <w:t>A temporary license certificate may be issued at the discretion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val="false"/>
          <w:color w:val="000000"/>
          <w:sz w:val="22"/>
        </w:rPr>
        <w:t>Any temporary license certificate issued at the discretion of the administrator shall be valid for a maximum of 120 calendar days from the date of issue. Failure to obtain a permanent license within the designated time may result in revocation of license eligibility, fine, or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491—14.4</w:t>
      </w:r>
      <w:r>
        <w:rPr>
          <w:rFonts w:ascii="Times New Roman" w:hAnsi="Times New Roman"/>
          <w:b/>
          <w:i w:val="false"/>
          <w:color w:val="000000"/>
          <w:sz w:val="22"/>
        </w:rPr>
        <w:t xml:space="preserve">(99E) </w:t>
      </w:r>
      <w:r>
        <w:rPr>
          <w:rFonts w:ascii="Times New Roman" w:hAnsi="Times New Roman"/>
          <w:b/>
          <w:i w:val="false"/>
          <w:color w:val="000000"/>
          <w:sz w:val="22"/>
        </w:rPr>
        <w:t xml:space="preserve">Withdrawal of application. </w:t>
      </w:r>
      <w:r>
        <w:rPr>
          <w:rFonts w:ascii="Times New Roman" w:hAnsi="Times New Roman"/>
          <w:b w:val="false"/>
          <w:i w:val="false"/>
          <w:color w:val="000000"/>
          <w:sz w:val="22"/>
        </w:rPr>
        <w:t xml:space="preserve">A written notice of withdrawal of application may be filed by an applicant at any time prior to final action. No application shall be permitted to be withdrawn unless the administrator determines the withdrawal to be in the public interest. No fee or other payment relating to any application shall become refundable by reason of withdrawal of the application.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491—14.5</w:t>
      </w:r>
      <w:r>
        <w:rPr>
          <w:rFonts w:ascii="Times New Roman" w:hAnsi="Times New Roman"/>
          <w:b/>
          <w:i w:val="false"/>
          <w:color w:val="000000"/>
          <w:sz w:val="22"/>
        </w:rPr>
        <w:t xml:space="preserve">(99E)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color w:val="000000"/>
          <w:sz w:val="22"/>
        </w:rPr>
        <w:t xml:space="preserve">Initial license. </w:t>
      </w:r>
      <w:r>
        <w:rPr>
          <w:rFonts w:ascii="Times New Roman" w:hAnsi="Times New Roman"/>
          <w:b w:val="false"/>
          <w:i w:val="false"/>
          <w:color w:val="000000"/>
          <w:sz w:val="22"/>
        </w:rPr>
        <w:t>Once the commission is satisfied that the requirements of this chapter have been met, an applicant will be granted an initial license for up to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color w:val="000000"/>
          <w:sz w:val="22"/>
        </w:rPr>
        <w:t xml:space="preserve">Annual license fee. </w:t>
      </w:r>
      <w:r>
        <w:rPr>
          <w:rFonts w:ascii="Times New Roman" w:hAnsi="Times New Roman"/>
          <w:b w:val="false"/>
          <w:i w:val="false"/>
          <w:color w:val="000000"/>
          <w:sz w:val="22"/>
        </w:rPr>
        <w:t>After the initial licensing period, a licensee shall pay an annual fee of $1,000 for licensees with a yearly adjusted gross revenue under $150,000 or $5,000 for licensees with a yearly adjusted gross revenue of $150,000 or greater. The administrator shall set the time period for determining a licensee’s adjusted gross revenue. Licenses must be renewed annually in a manner established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491—14.6</w:t>
      </w:r>
      <w:r>
        <w:rPr>
          <w:rFonts w:ascii="Times New Roman" w:hAnsi="Times New Roman"/>
          <w:b/>
          <w:i w:val="false"/>
          <w:color w:val="000000"/>
          <w:sz w:val="22"/>
        </w:rPr>
        <w:t xml:space="preserve">(99E) </w:t>
      </w:r>
      <w:r>
        <w:rPr>
          <w:rFonts w:ascii="Times New Roman" w:hAnsi="Times New Roman"/>
          <w:b/>
          <w:i w:val="false"/>
          <w:color w:val="000000"/>
          <w:sz w:val="22"/>
        </w:rPr>
        <w:t xml:space="preserve">Taxes.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pay a tax rate pursuant to Iowa Code section </w:t>
      </w:r>
      <w:hyperlink r:id="rId16">
        <w:r>
          <w:rPr>
            <w:rStyle w:val="Hyperlink"/>
            <w:rFonts w:ascii="Times New Roman" w:hAnsi="Times New Roman"/>
            <w:b w:val="false"/>
            <w:i w:val="false"/>
            <w:color w:val="000000"/>
            <w:sz w:val="22"/>
          </w:rPr>
          <w:t>99E.6</w:t>
        </w:r>
      </w:hyperlink>
      <w:r>
        <w:rPr>
          <w:rFonts w:ascii="Times New Roman" w:hAnsi="Times New Roman"/>
          <w:b w:val="false"/>
          <w:i w:val="false"/>
          <w:color w:val="000000"/>
          <w:sz w:val="22"/>
        </w:rPr>
        <w:t xml:space="preserve"> on adjusted revenue from fantasy sports contests. “Adjusted revenue” means the amount equal to the total charges and fees collected from all participants entering the fantasy sports contest less winnings paid to participants in the contest, multiplied by the location percentage defined in Iowa Code section </w:t>
      </w:r>
      <w:hyperlink r:id="rId17">
        <w:r>
          <w:rPr>
            <w:rStyle w:val="Hyperlink"/>
            <w:rFonts w:ascii="Times New Roman" w:hAnsi="Times New Roman"/>
            <w:b w:val="false"/>
            <w:i w:val="false"/>
            <w:color w:val="000000"/>
            <w:sz w:val="22"/>
          </w:rPr>
          <w:t>99E.1</w:t>
        </w:r>
      </w:hyperlink>
      <w:r>
        <w:rPr>
          <w:rFonts w:ascii="Times New Roman" w:hAnsi="Times New Roman"/>
          <w:b w:val="false"/>
          <w:i w:val="false"/>
          <w:color w:val="000000"/>
          <w:sz w:val="22"/>
        </w:rPr>
        <w:t xml:space="preserve">. Charges and fees returned to participants due to a participant withdrawing the participant’s entry from a fantasy sports contest shall not be considered when calculating the adjusted revenue. Contests resulting in negative adjusted revenue shall be considered promotional in nature and cannot be used to offset taxes owed pursuant to Iowa Code section </w:t>
      </w:r>
      <w:hyperlink r:id="rId18">
        <w:r>
          <w:rPr>
            <w:rStyle w:val="Hyperlink"/>
            <w:rFonts w:ascii="Times New Roman" w:hAnsi="Times New Roman"/>
            <w:b w:val="false"/>
            <w:i w:val="false"/>
            <w:color w:val="000000"/>
            <w:sz w:val="22"/>
          </w:rPr>
          <w:t>99E.6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w:t>
      </w:r>
      <w:r>
        <w:rPr>
          <w:rFonts w:ascii="Times New Roman" w:hAnsi="Times New Roman"/>
          <w:b w:val="false"/>
          <w:i w:val="false"/>
          <w:color w:val="000000"/>
          <w:sz w:val="22"/>
        </w:rPr>
        <w:t> </w:t>
      </w:r>
      <w:r>
        <w:rPr>
          <w:rFonts w:ascii="Times New Roman" w:hAnsi="Times New Roman"/>
          <w:b w:val="false"/>
          <w:i w:val="false"/>
          <w:color w:val="000000"/>
          <w:sz w:val="22"/>
        </w:rPr>
        <w:t>Voided and canceled transactions are not considered receipts for the purpose of this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w:t>
      </w:r>
      <w:r>
        <w:rPr>
          <w:rFonts w:ascii="Times New Roman" w:hAnsi="Times New Roman"/>
          <w:b w:val="false"/>
          <w:i w:val="false"/>
          <w:color w:val="000000"/>
          <w:sz w:val="22"/>
        </w:rPr>
        <w:t> </w:t>
      </w:r>
      <w:r>
        <w:rPr>
          <w:rFonts w:ascii="Times New Roman" w:hAnsi="Times New Roman"/>
          <w:b w:val="false"/>
          <w:i w:val="false"/>
          <w:color w:val="000000"/>
          <w:sz w:val="22"/>
        </w:rPr>
        <w:t xml:space="preserve">Any offering used to directly participate in a contest shall be considered receipts for the purpose of this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14.6(4)</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fee collected to participate in a fantasy sports contest shall be subject to the wagering tax pursuant to Iowa Code section </w:t>
      </w:r>
      <w:hyperlink r:id="rId19">
        <w:r>
          <w:rPr>
            <w:rStyle w:val="Hyperlink"/>
            <w:rFonts w:ascii="Times New Roman" w:hAnsi="Times New Roman"/>
            <w:b w:val="false"/>
            <w:i w:val="false"/>
            <w:color w:val="000000"/>
            <w:sz w:val="22"/>
          </w:rPr>
          <w:t>99E.6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14.6(5)</w:t>
      </w:r>
      <w:r>
        <w:rPr>
          <w:rFonts w:ascii="Times New Roman" w:hAnsi="Times New Roman"/>
          <w:b w:val="false"/>
          <w:i w:val="false"/>
          <w:color w:val="000000"/>
          <w:sz w:val="22"/>
        </w:rPr>
        <w:t> </w:t>
      </w:r>
      <w:r>
        <w:rPr>
          <w:rFonts w:ascii="Times New Roman" w:hAnsi="Times New Roman"/>
          <w:b w:val="false"/>
          <w:i w:val="false"/>
          <w:color w:val="000000"/>
          <w:sz w:val="22"/>
        </w:rPr>
        <w:t xml:space="preserve">All moneys collected for and owed to the state of Iowa under Iowa Code chapter </w:t>
      </w:r>
      <w:hyperlink r:id="rId20">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for the payment of fantasy sports contests shall be accounted for and itemized on a monthly basis, in a format approved by the commission, by noon on Wednesday following a gaming week’s end as defined by </w:t>
      </w:r>
      <w:hyperlink r:id="rId21">
        <w:r>
          <w:rPr>
            <w:rStyle w:val="Hyperlink"/>
            <w:rFonts w:ascii="Times New Roman" w:hAnsi="Times New Roman"/>
            <w:b w:val="false"/>
            <w:i w:val="false"/>
            <w:color w:val="000000"/>
            <w:sz w:val="22"/>
          </w:rPr>
          <w:t>491—subparagraph 5.4(10)</w:t>
        </w:r>
      </w:hyperlink>
      <w:r>
        <w:rPr>
          <w:rFonts w:ascii="Times New Roman" w:hAnsi="Times New Roman"/>
          <w:b w:val="false"/>
          <w:i/>
          <w:color w:val="000000"/>
          <w:sz w:val="22"/>
        </w:rPr>
        <w:t>“b”</w:t>
      </w:r>
      <w:r>
        <w:rPr>
          <w:rFonts w:ascii="Times New Roman" w:hAnsi="Times New Roman"/>
          <w:b w:val="false"/>
          <w:i w:val="false"/>
          <w:color w:val="000000"/>
          <w:sz w:val="22"/>
        </w:rPr>
        <w:t>(1) in which the completed gaming week includes the last day of the month. All fantasy sports contest fees owed shall be received in the treasurer’s office by 11 a.m. on the Thursday after accounting and itemization is due in the commission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14.6(6)</w:t>
      </w:r>
      <w:r>
        <w:rPr>
          <w:rFonts w:ascii="Times New Roman" w:hAnsi="Times New Roman"/>
          <w:b w:val="false"/>
          <w:i w:val="false"/>
          <w:color w:val="000000"/>
          <w:sz w:val="22"/>
        </w:rPr>
        <w:t> </w:t>
      </w:r>
      <w:r>
        <w:rPr>
          <w:rFonts w:ascii="Times New Roman" w:hAnsi="Times New Roman"/>
          <w:b w:val="false"/>
          <w:i w:val="false"/>
          <w:color w:val="000000"/>
          <w:sz w:val="22"/>
        </w:rPr>
        <w:t>Fantasy sports operators shall provide additional reports, as determined necessary by the administrator, that detail the taxes collected in accordance with this rule. Reports shall be provided to the commission in a format approved by the administrator. The administrator shall provide written notice to any licensee if additional reports are determined necessary. In addition, the administrator shall provide adequate time to any licensee if a report needs to be created to satisfy this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491—14.7</w:t>
      </w:r>
      <w:r>
        <w:rPr>
          <w:rFonts w:ascii="Times New Roman" w:hAnsi="Times New Roman"/>
          <w:b/>
          <w:i w:val="false"/>
          <w:color w:val="000000"/>
          <w:sz w:val="22"/>
        </w:rPr>
        <w:t xml:space="preserve">(99E) </w:t>
      </w:r>
      <w:r>
        <w:rPr>
          <w:rFonts w:ascii="Times New Roman" w:hAnsi="Times New Roman"/>
          <w:b/>
          <w:i w:val="false"/>
          <w:color w:val="000000"/>
          <w:sz w:val="22"/>
        </w:rPr>
        <w:t xml:space="preserve">Account registration. </w:t>
      </w:r>
      <w:r>
        <w:rPr>
          <w:rFonts w:ascii="Times New Roman" w:hAnsi="Times New Roman"/>
          <w:b w:val="false"/>
          <w:i w:val="false"/>
          <w:color w:val="000000"/>
          <w:sz w:val="22"/>
        </w:rPr>
        <w:t>A person must have an established account in order to participate in fantasy sports contests. To establish an account, an application for an account shall be authorized in a manner approved by the administrator and shall include the applicant’s full legal name, principal residential address, date of birth and any other information required by the commission. The account registration process shall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14.7(1)</w:t>
      </w:r>
      <w:r>
        <w:rPr>
          <w:rFonts w:ascii="Times New Roman" w:hAnsi="Times New Roman"/>
          <w:b w:val="false"/>
          <w:i w:val="false"/>
          <w:color w:val="000000"/>
          <w:sz w:val="22"/>
        </w:rPr>
        <w:t> </w:t>
      </w:r>
      <w:r>
        <w:rPr>
          <w:rFonts w:ascii="Times New Roman" w:hAnsi="Times New Roman"/>
          <w:b w:val="false"/>
          <w:i w:val="false"/>
          <w:color w:val="000000"/>
          <w:sz w:val="22"/>
        </w:rPr>
        <w:t>Age verification to prevent persons under the legal age from participating in fantasy sports contests and establishing an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14.7(2)</w:t>
      </w:r>
      <w:r>
        <w:rPr>
          <w:rFonts w:ascii="Times New Roman" w:hAnsi="Times New Roman"/>
          <w:b w:val="false"/>
          <w:i w:val="false"/>
          <w:color w:val="000000"/>
          <w:sz w:val="22"/>
        </w:rPr>
        <w:t> </w:t>
      </w:r>
      <w:r>
        <w:rPr>
          <w:rFonts w:ascii="Times New Roman" w:hAnsi="Times New Roman"/>
          <w:b w:val="false"/>
          <w:i w:val="false"/>
          <w:color w:val="000000"/>
          <w:sz w:val="22"/>
        </w:rPr>
        <w:t>Customer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customer verification process shall include an exact match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Date of birth, including month, date and year of birth.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last four digits of the social security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Last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customer verification process shall permit a flexible match by allowing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First name may include nicknames and abbreviations.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may include abbreviations.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customer verification process shall authenticate identification by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Answering knowledge-based questions based on the applicant’s public or private data;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Verifying that device ID and phone number match the applicant’s publicly known data;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Comparing a valid government-issued ID to a photo of the applicant taken at the time of account registration;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Another method as approved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14.7(3)</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that the customer is not on the statewide self-exclusion list set forth in Iowa Code section </w:t>
      </w:r>
      <w:hyperlink r:id="rId22">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prior to establishing an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14.7(4)</w:t>
      </w:r>
      <w:r>
        <w:rPr>
          <w:rFonts w:ascii="Times New Roman" w:hAnsi="Times New Roman"/>
          <w:b w:val="false"/>
          <w:i w:val="false"/>
          <w:color w:val="000000"/>
          <w:sz w:val="22"/>
        </w:rPr>
        <w:t> </w:t>
      </w:r>
      <w:r>
        <w:rPr>
          <w:rFonts w:ascii="Times New Roman" w:hAnsi="Times New Roman"/>
          <w:b w:val="false"/>
          <w:i w:val="false"/>
          <w:color w:val="000000"/>
          <w:sz w:val="22"/>
        </w:rPr>
        <w:t>Availability and acceptance of a set of terms and conditions that are also readily accessible to the customer before and after registration and noticed when updated. Notices shall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Explanation of rules in which any unrecoverable malfunctions of hardware/software are addressed including, but not limited to, if the unrecoverable malfunction, fantasy sports event cancellation, or any other catastrophic malfunction results in the voiding of any contests.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to deal with interruptions caused by the suspension of data flow from the network server during a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Specifications advising customers to keep their account credentials secure.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Statement that no underage individuals are permitted to participate in contests.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14.7(5)</w:t>
      </w:r>
      <w:r>
        <w:rPr>
          <w:rFonts w:ascii="Times New Roman" w:hAnsi="Times New Roman"/>
          <w:b w:val="false"/>
          <w:i w:val="false"/>
          <w:color w:val="000000"/>
          <w:sz w:val="22"/>
        </w:rPr>
        <w:t> </w:t>
      </w:r>
      <w:r>
        <w:rPr>
          <w:rFonts w:ascii="Times New Roman" w:hAnsi="Times New Roman"/>
          <w:b w:val="false"/>
          <w:i w:val="false"/>
          <w:color w:val="000000"/>
          <w:sz w:val="22"/>
        </w:rPr>
        <w:t>Availability and acceptance of a privacy policy that is also readily accessible to the customer before and after registration and noticed when updated that includes,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Statement of information that is collected, the purpose for information collection and the conditions under which information may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Statement that any information obtained in respect to customer registration or account establishment must be done in compliance with the privacy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Requirement that any information about customer accounts which is not subject to disclosure pursuant to the privacy policy must be kept confidential, except where the release of that information is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Requirement that all customer information must be securely erased from hard disks, magnetic tapes, solid state memory and other devices before the device is properly disposed of by the licensee. If erasure is not possible, the storage device must be destroyed.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8892C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491—14.8</w:t>
      </w:r>
      <w:r>
        <w:rPr>
          <w:rFonts w:ascii="Times New Roman" w:hAnsi="Times New Roman"/>
          <w:b/>
          <w:i w:val="false"/>
          <w:color w:val="000000"/>
          <w:sz w:val="22"/>
        </w:rPr>
        <w:t xml:space="preserve">(99E) </w:t>
      </w:r>
      <w:r>
        <w:rPr>
          <w:rFonts w:ascii="Times New Roman" w:hAnsi="Times New Roman"/>
          <w:b/>
          <w:i w:val="false"/>
          <w:color w:val="000000"/>
          <w:sz w:val="22"/>
        </w:rPr>
        <w:t xml:space="preserve">Fantasy sports contest service provider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14.8(1)</w:t>
      </w:r>
      <w:r>
        <w:rPr>
          <w:rFonts w:ascii="Times New Roman" w:hAnsi="Times New Roman"/>
          <w:b w:val="false"/>
          <w:i w:val="false"/>
          <w:color w:val="000000"/>
          <w:sz w:val="22"/>
        </w:rPr>
        <w:t> </w:t>
      </w:r>
      <w:r>
        <w:rPr>
          <w:rFonts w:ascii="Times New Roman" w:hAnsi="Times New Roman"/>
          <w:b w:val="false"/>
          <w:i/>
          <w:color w:val="000000"/>
          <w:sz w:val="22"/>
        </w:rPr>
        <w:t xml:space="preserve">Internal controls. </w:t>
      </w:r>
      <w:r>
        <w:rPr>
          <w:rFonts w:ascii="Times New Roman" w:hAnsi="Times New Roman"/>
          <w:b w:val="false"/>
          <w:i w:val="false"/>
          <w:color w:val="000000"/>
          <w:sz w:val="22"/>
        </w:rPr>
        <w:t>Licensees shall submit a description of internal controls to the administrator. The submission shall be made at least 30 days before fantasy sports contest operations are to commence unless otherwise approved by the administrator. All internal controls must be approved by the administrator prior to commencement of contest operations. The service provider shall submit to the administrator any changes to the internal controls previously approved at least 15 days before the changes are to become effective unless otherwise directed by the administrator. It shall be the affirmative responsibility and continuing duty of each licensee and its employees to follow and comply with all internal controls. The submission shall include controls and reasonable methods that comply with and provide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Prevention of employees of the internet fantasy sports contest service provider and relatives living in the same household of such employees from competing in any internet fantasy sports contest on the service provider’s digital platform in which the service provider offers a prize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that any fantasy sports contest player is 21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Restriction of entries from coaches, officials, athletes, contestants, or other individuals who participate in a game or contest that is the subject of an Internet fantasy sports contest in which the outcome is determined, in whole or in part, by the accumulated statistical results of a team of individuals in the game or contest in which they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easy and obvious method for a player to make a complaint and to enable the player to notify the commission if such complaint has not been or cannot be resolved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Measures used to determine the true identity, date of birth, and address of each player seeking to open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Standards and procedures used to monitor fantasy sports contests to detect the use of unauthorized scripts and restrict players found to have used such scripts from further fantasy sports contests.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Prevention of unauthorized withdrawals from a registered player’s account by the service provider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How the service provider will accept wagers within the permitted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How the service provider will segregate fantasy sports contest player funds from operational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Protection of a fantasy sports contestant’s personal and private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14.8(2)</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Licensees shall provide all information requested by the commission. Access to this information shall be prompt, and copies of the information shall be delivered within seven days or less as ordered or requested by the commission. The licensees shall ensure all books and records and the retention of all books and records comply with </w:t>
      </w:r>
      <w:hyperlink r:id="rId23">
        <w:r>
          <w:rPr>
            <w:rStyle w:val="Hyperlink"/>
            <w:rFonts w:ascii="Times New Roman" w:hAnsi="Times New Roman"/>
            <w:b w:val="false"/>
            <w:i w:val="false"/>
            <w:color w:val="000000"/>
            <w:sz w:val="22"/>
          </w:rPr>
          <w:t>491—subrule 5.4(14)</w:t>
        </w:r>
      </w:hyperlink>
      <w:r>
        <w:rPr>
          <w:rFonts w:ascii="Times New Roman" w:hAnsi="Times New Roman"/>
          <w:b w:val="false"/>
          <w:i w:val="false"/>
          <w:color w:val="000000"/>
          <w:sz w:val="22"/>
        </w:rPr>
        <w:t>. All records pertaining to contests shall be available to allow for player complaint resolution. All records pertaining to the accounts of persons who registered or have account activity in Iowa shall be available to allow for audits and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14.8(3)</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The licensee shall provide prompt notification of any facts which the licensee has reasonable grounds to believe indicate a violation of law or commission rule committed by licensees, their key persons, or their employees, including without limitation the performance of licensed activities different from those permitted under their license. The licensee is also required to provide a detailed written report within seven business days, or a time frame otherwise approved by the administrator, from the discovery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Criminal or disciplinary proceedings commenced against the service provider or its employees in connection with its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Abnormal contest activity or patterns that may indicate a concern about the integrity of an internet fantasy sports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conduct with the potential to corrupt an outcome of an internet fantasy sports contest for purposes of financial gain, including but not limited to match fixing;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Suspicious or illegal internet fantasy sports contest activities, including the use of funds derived from illegal activity, deposits of money to enter an internet fantasy sports contest to conceal or launder funds derived from illegal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use of agents to enter an internet fantasy sports contest or use of false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14.8(4)</w:t>
      </w:r>
      <w:r>
        <w:rPr>
          <w:rFonts w:ascii="Times New Roman" w:hAnsi="Times New Roman"/>
          <w:b w:val="false"/>
          <w:i w:val="false"/>
          <w:color w:val="000000"/>
          <w:sz w:val="22"/>
        </w:rPr>
        <w:t> </w:t>
      </w:r>
      <w:r>
        <w:rPr>
          <w:rFonts w:ascii="Times New Roman" w:hAnsi="Times New Roman"/>
          <w:b w:val="false"/>
          <w:i/>
          <w:color w:val="000000"/>
          <w:sz w:val="22"/>
        </w:rPr>
        <w:t xml:space="preserve">Technical and testing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testing. </w:t>
      </w:r>
      <w:r>
        <w:rPr>
          <w:rFonts w:ascii="Times New Roman" w:hAnsi="Times New Roman"/>
          <w:b w:val="false"/>
          <w:i w:val="false"/>
          <w:color w:val="000000"/>
          <w:sz w:val="22"/>
        </w:rPr>
        <w:t>All equipment and systems integral to the conduct of fantasy sports contests shall be tested and certified for compliance with commission rules and the standards required by a commission-designated independent testing laboratory. Certification and commission approval must be received prior to the use of any equipment or system to conduct a fantasy sports contest. The commission may designate more than one independent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 control. </w:t>
      </w:r>
      <w:r>
        <w:rPr>
          <w:rFonts w:ascii="Times New Roman" w:hAnsi="Times New Roman"/>
          <w:b w:val="false"/>
          <w:i w:val="false"/>
          <w:color w:val="000000"/>
          <w:sz w:val="22"/>
        </w:rPr>
        <w:t>The fantasy sports contest service providers shall submit change control processes that detail evaluation procedures for all updates and changes to equipment and systems to the administrator for approval. These processes shall include details for identifying criticality of updates and determining of submission of updates to an independent testing laboratory for review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Annual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system integrity and security risk assessment shall be performed annually on the fantasy sports contest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testing organization must be independent of the licensee and shall be qualified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integrity and security risk assessment shall be completed no later than March 31 of each year. Results shall include a remediation plan to address any risks identified during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from the risk assessment shall be submitted to the administrator no later than 60 days after the assessment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risk assessment shall be conducted in accordance with current and accepted industry standard review requirements for risk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risk assessment shall include a review of licensee controls. Review of controls shall include but not be limited to a comparison of licensee controls to industry standard and best practice controls, and an audit of the licensee processes for compliance with those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administrator, additional assessments or specific testing criteria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Limit on number of websites and platforms. </w:t>
      </w:r>
      <w:r>
        <w:rPr>
          <w:rFonts w:ascii="Times New Roman" w:hAnsi="Times New Roman"/>
          <w:b w:val="false"/>
          <w:i w:val="false"/>
          <w:color w:val="000000"/>
          <w:sz w:val="22"/>
        </w:rPr>
        <w:t xml:space="preserve">A fantasy sports contest service provider is authorized to conduct no more than two websites or platforms maintained and operated by the service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14.8(5)</w:t>
      </w:r>
      <w:r>
        <w:rPr>
          <w:rFonts w:ascii="Times New Roman" w:hAnsi="Times New Roman"/>
          <w:b w:val="false"/>
          <w:i w:val="false"/>
          <w:color w:val="000000"/>
          <w:sz w:val="22"/>
        </w:rPr>
        <w:t> </w:t>
      </w:r>
      <w:r>
        <w:rPr>
          <w:rFonts w:ascii="Times New Roman" w:hAnsi="Times New Roman"/>
          <w:b w:val="false"/>
          <w:i/>
          <w:color w:val="000000"/>
          <w:sz w:val="22"/>
        </w:rPr>
        <w:t xml:space="preserve">Operating requirements. </w:t>
      </w:r>
      <w:r>
        <w:rPr>
          <w:rFonts w:ascii="Times New Roman" w:hAnsi="Times New Roman"/>
          <w:b w:val="false"/>
          <w:i w:val="false"/>
          <w:color w:val="000000"/>
          <w:sz w:val="22"/>
        </w:rPr>
        <w:t>A fantasy sports contest service provider shall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Players winning fantasy sports contests shall have winning funds deposited into their player account or be paid by other means approved by the administrator within 48 hours from the end of the contest. Players shall have a fee-free method to deposit or withdraw funds from their player account. If funds are unable to be placed in a player’s account, the fantasy sports contest service provider shall mail the funds to the player’s address on file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Player withdrawal of funds maintained in the player account shall be completed within five business days of the request unless the licensed fantasy sports contest service provider believes, in good faith, that the player engaged in fraud or other illegal activity pursuant to Iowa Code chapter </w:t>
      </w:r>
      <w:hyperlink r:id="rId24">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or </w:t>
      </w:r>
      <w:hyperlink r:id="rId26">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allow for a player to close an account and to access the player’s history, including all fantasy sports contests in which the player participated.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Employees of the licensee are prohibited from participation in any fantasy sports contest offered by the licensee in which a cash prize is offered to the public. This includes prohibiting relatives living in the same household as such employees from competing in any fantasy sports contests offered by any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Prohibition of the sharing of confidential information that could affect fantasy sports contest play with third parties until the information is made publicly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Players are allowed to voluntarily self-exclude in compliance with Iowa Code section </w:t>
      </w:r>
      <w:hyperlink r:id="rId27">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and a fantasy sports contest service provider shall follow all resolutions associated with the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Authentication for login using a multifactor authentication process or other secure alternative means as authorized by the commission. After successful login, multifactor authentication will need to be performed at least every 14 days for each unique device. Processes for retrieving lost usernames and passwords shall be available, secure, and clearly disclosed to the player. Players shall be allowed to change their passwords.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account registration and each time the user logs in, fantasy sports contest service providers shall display the following information on any interface that accepts fantasy sports contest entries: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Account sharing is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under the age of 21 are prohibited from entering fantasy sports contests.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disclosures, as required by the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5423C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Delay note at end of chapter; </w:t>
      </w:r>
      <w:r>
        <w:rPr>
          <w:rFonts w:ascii="Times New Roman" w:hAnsi="Times New Roman"/>
          <w:b/>
          <w:i w:val="false"/>
          <w:color w:val="000000"/>
          <w:sz w:val="16"/>
        </w:rPr>
        <w:t>ARC 8892C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491—14.9</w:t>
      </w:r>
      <w:r>
        <w:rPr>
          <w:rFonts w:ascii="Times New Roman" w:hAnsi="Times New Roman"/>
          <w:b/>
          <w:i w:val="false"/>
          <w:color w:val="000000"/>
          <w:sz w:val="22"/>
        </w:rPr>
        <w:t xml:space="preserve">(99E) </w:t>
      </w:r>
      <w:r>
        <w:rPr>
          <w:rFonts w:ascii="Times New Roman" w:hAnsi="Times New Roman"/>
          <w:b/>
          <w:i w:val="false"/>
          <w:color w:val="000000"/>
          <w:sz w:val="22"/>
        </w:rPr>
        <w:t xml:space="preserve">Contest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w:t>
      </w:r>
      <w:r>
        <w:rPr>
          <w:rFonts w:ascii="Times New Roman" w:hAnsi="Times New Roman"/>
          <w:b w:val="false"/>
          <w:i w:val="false"/>
          <w:color w:val="000000"/>
          <w:sz w:val="22"/>
        </w:rPr>
        <w:t> </w:t>
      </w:r>
      <w:r>
        <w:rPr>
          <w:rFonts w:ascii="Times New Roman" w:hAnsi="Times New Roman"/>
          <w:b w:val="false"/>
          <w:i w:val="false"/>
          <w:color w:val="000000"/>
          <w:sz w:val="22"/>
        </w:rPr>
        <w:t>Prior to conducting a new type of fantasy sports contest, a fantasy sports contest service provider shall submit proposed contest rules to the administrator. The contest submission shall be in writing and approved by the administrator prior to implementation. The administrator shall approve, deny, or request further information within three business days of submission. If the administrator takes no action within that period, the fantasy sports contest service provider may offer the requested contest unless the administrator issues a subsequent disapproval. Once a contest is approved, the contest is available for all fantasy sports contest service providers unless the contest format is subsequently disapproved by the administrator for any reason the commission deems appropriate. Fantasy sports contest service providers may offer minor variations of an approved contest type without seeking administrator approval. Minor variations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Offering the contest format for any sport, league, association or organization previously approved by the administrator for any fantasy sports contest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size of the contest and number of entries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Nonmaterial changes to entry fee and prize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athletes that a contestant selects to fill a roster when completing an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positions that must be filled when completing an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Adjustments to the scoring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Adjustments to a salary cap.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14.9(2)</w:t>
      </w:r>
      <w:r>
        <w:rPr>
          <w:rFonts w:ascii="Times New Roman" w:hAnsi="Times New Roman"/>
          <w:b w:val="false"/>
          <w:i w:val="false"/>
          <w:color w:val="000000"/>
          <w:sz w:val="22"/>
        </w:rPr>
        <w:t> </w:t>
      </w:r>
      <w:r>
        <w:rPr>
          <w:rFonts w:ascii="Times New Roman" w:hAnsi="Times New Roman"/>
          <w:b w:val="false"/>
          <w:i w:val="false"/>
          <w:color w:val="000000"/>
          <w:sz w:val="22"/>
        </w:rPr>
        <w:t>Licensees are required to comply with and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Advertisements for contests and prizes offered by a licensee shall not target prohibited participants, underage persons, or self-excluded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values of all prizes and awards offered to winning players must be established and made known to the players in advance of the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Introductory procedures for players are prominently displayed on the main page of the licensee’s platform to explain contest play and how to identify a highly experienced player.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all highly experienced players in every fantasy sports contest by a symbol attached to the players’ usernames, or by other easily visible means, on all platforms supported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Contests are not offered based on the performance of participants in high school or youth sports events.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Representations or implications about average winnings from contests shall not be unfair or misleading.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Prohibition of the use of unauthorized third-party scripts or unauthorized scripting programs for any contest and ensure that measures are in place to deter, detect, and prevent cheating to the extent reasonably possible. “Cheating” includes collusion and the use of cheating devices, including the use of software programs that submit entry fees or adjust the athletes selected by a player.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Prominent display of information about the maximum number of entries that may be submitted for that contest for all advertised fantasy sports contests.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Disclosure of the number of entries that a player may submit to each fantasy sports contest and provide reasonable steps to prevent players from submitting more than the allowable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Opportunity for players to file a patron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Conspicuously disclose the source of the data utilized in any results.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491—14.10</w:t>
      </w:r>
      <w:r>
        <w:rPr>
          <w:rFonts w:ascii="Times New Roman" w:hAnsi="Times New Roman"/>
          <w:b/>
          <w:i w:val="false"/>
          <w:color w:val="000000"/>
          <w:sz w:val="22"/>
        </w:rPr>
        <w:t xml:space="preserve">(99E) </w:t>
      </w:r>
      <w:r>
        <w:rPr>
          <w:rFonts w:ascii="Times New Roman" w:hAnsi="Times New Roman"/>
          <w:b/>
          <w:i w:val="false"/>
          <w:color w:val="000000"/>
          <w:sz w:val="22"/>
        </w:rPr>
        <w:t xml:space="preserve">Segregation account requirements and financial reserves.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14.10(1)</w:t>
      </w:r>
      <w:r>
        <w:rPr>
          <w:rFonts w:ascii="Times New Roman" w:hAnsi="Times New Roman"/>
          <w:b w:val="false"/>
          <w:i w:val="false"/>
          <w:color w:val="000000"/>
          <w:sz w:val="22"/>
        </w:rPr>
        <w:t> </w:t>
      </w:r>
      <w:r>
        <w:rPr>
          <w:rFonts w:ascii="Times New Roman" w:hAnsi="Times New Roman"/>
          <w:b w:val="false"/>
          <w:i/>
          <w:color w:val="000000"/>
          <w:sz w:val="22"/>
        </w:rPr>
        <w:t xml:space="preserve">Segregation. </w:t>
      </w:r>
      <w:r>
        <w:rPr>
          <w:rFonts w:ascii="Times New Roman" w:hAnsi="Times New Roman"/>
          <w:b w:val="false"/>
          <w:i w:val="false"/>
          <w:color w:val="000000"/>
          <w:sz w:val="22"/>
        </w:rPr>
        <w:t>Fantasy sports contest service providers shall segregate all fantasy sports contest player funds from operational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14.10(2)</w:t>
      </w:r>
      <w:r>
        <w:rPr>
          <w:rFonts w:ascii="Times New Roman" w:hAnsi="Times New Roman"/>
          <w:b w:val="false"/>
          <w:i w:val="false"/>
          <w:color w:val="000000"/>
          <w:sz w:val="22"/>
        </w:rPr>
        <w:t> </w:t>
      </w:r>
      <w:r>
        <w:rPr>
          <w:rFonts w:ascii="Times New Roman" w:hAnsi="Times New Roman"/>
          <w:b w:val="false"/>
          <w:i/>
          <w:color w:val="000000"/>
          <w:sz w:val="22"/>
        </w:rPr>
        <w:t xml:space="preserve">Financial reserves. </w:t>
      </w:r>
      <w:r>
        <w:rPr>
          <w:rFonts w:ascii="Times New Roman" w:hAnsi="Times New Roman"/>
          <w:b w:val="false"/>
          <w:i w:val="false"/>
          <w:color w:val="000000"/>
          <w:sz w:val="22"/>
        </w:rPr>
        <w:t>For the protection of the funds of contest participants held in paid fantasy sports accounts, the fantasy sports contest service provider shall maintain a reserve in the form of cash, cash equivalents, an irrevocable letter of credit, payment processor reserves and receivables, a bond, or a combination thereof in the amount of the deposits in internet fantasy sports contest player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method of reserve shall be submitted and approved by the commission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reserve shall be equal to, at a minimum, the sum of all registered players’ funds held in player accounts originating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at any time, the licensee’s total reserve is less than the amount required by the reserve calculation, the licensee shall notify the commission of this deficiency within 72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licensee shall continuously monitor and maintain a record of all player deposits and the licensee’s cash reserves to ensure compliance with the cash reserves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shall provide the commission with documentation including the amount of deposits in players’ accounts and the amount in cash reserves as of the last day of each month. The information is due by the fifteenth day of the month for the preceding month.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491—14.11</w:t>
      </w:r>
      <w:r>
        <w:rPr>
          <w:rFonts w:ascii="Times New Roman" w:hAnsi="Times New Roman"/>
          <w:b/>
          <w:i w:val="false"/>
          <w:color w:val="000000"/>
          <w:sz w:val="22"/>
        </w:rPr>
        <w:t xml:space="preserve">(99E) </w:t>
      </w:r>
      <w:r>
        <w:rPr>
          <w:rFonts w:ascii="Times New Roman" w:hAnsi="Times New Roman"/>
          <w:b/>
          <w:i w:val="false"/>
          <w:color w:val="000000"/>
          <w:sz w:val="22"/>
        </w:rPr>
        <w:t xml:space="preserve">Annual audit. </w:t>
      </w:r>
      <w:r>
        <w:rPr>
          <w:rFonts w:ascii="Times New Roman" w:hAnsi="Times New Roman"/>
          <w:b w:val="false"/>
          <w:i w:val="false"/>
          <w:color w:val="000000"/>
          <w:sz w:val="22"/>
        </w:rPr>
        <w:t>An audit of the fantasy sports contest operations for the licensee or parent company of the licensee shall be conducted by certified public accountants authorized to practice in the state of Iowa and provided to the commission within 180 days of the licensee’s fiscal year and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14.11(1)</w:t>
      </w:r>
      <w:r>
        <w:rPr>
          <w:rFonts w:ascii="Times New Roman" w:hAnsi="Times New Roman"/>
          <w:b w:val="false"/>
          <w:i w:val="false"/>
          <w:color w:val="000000"/>
          <w:sz w:val="22"/>
        </w:rPr>
        <w:t> </w:t>
      </w:r>
      <w:r>
        <w:rPr>
          <w:rFonts w:ascii="Times New Roman" w:hAnsi="Times New Roman"/>
          <w:b w:val="false"/>
          <w:i w:val="false"/>
          <w:color w:val="000000"/>
          <w:sz w:val="22"/>
        </w:rPr>
        <w:t>Inclusion of an internal control letter, audited balance sheet, and audited profit-and-loss statement including a breakdown of expenditures and subsidiaries of fantasy sports contest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14.11(2)</w:t>
      </w:r>
      <w:r>
        <w:rPr>
          <w:rFonts w:ascii="Times New Roman" w:hAnsi="Times New Roman"/>
          <w:b w:val="false"/>
          <w:i w:val="false"/>
          <w:color w:val="000000"/>
          <w:sz w:val="22"/>
        </w:rPr>
        <w:t> </w:t>
      </w:r>
      <w:r>
        <w:rPr>
          <w:rFonts w:ascii="Times New Roman" w:hAnsi="Times New Roman"/>
          <w:b w:val="false"/>
          <w:i w:val="false"/>
          <w:color w:val="000000"/>
          <w:sz w:val="22"/>
        </w:rPr>
        <w:t>Inclusion of a supplement schedule indicating financial activities on a calendar-year basis if the licensee’s fiscal year does not correspond to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14.11(3)</w:t>
      </w:r>
      <w:r>
        <w:rPr>
          <w:rFonts w:ascii="Times New Roman" w:hAnsi="Times New Roman"/>
          <w:b w:val="false"/>
          <w:i w:val="false"/>
          <w:color w:val="000000"/>
          <w:sz w:val="22"/>
        </w:rPr>
        <w:t> </w:t>
      </w:r>
      <w:r>
        <w:rPr>
          <w:rFonts w:ascii="Times New Roman" w:hAnsi="Times New Roman"/>
          <w:b w:val="false"/>
          <w:i w:val="false"/>
          <w:color w:val="000000"/>
          <w:sz w:val="22"/>
        </w:rPr>
        <w:t>Report of any material errors, irregularities that may be discovered during the audit, or notice of any audit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14.11(4)</w:t>
      </w:r>
      <w:r>
        <w:rPr>
          <w:rFonts w:ascii="Times New Roman" w:hAnsi="Times New Roman"/>
          <w:b w:val="false"/>
          <w:i w:val="false"/>
          <w:color w:val="000000"/>
          <w:sz w:val="22"/>
        </w:rPr>
        <w:t> </w:t>
      </w:r>
      <w:r>
        <w:rPr>
          <w:rFonts w:ascii="Times New Roman" w:hAnsi="Times New Roman"/>
          <w:b w:val="false"/>
          <w:i w:val="false"/>
          <w:color w:val="000000"/>
          <w:sz w:val="22"/>
        </w:rPr>
        <w:t xml:space="preserve">Availability, upon request, of an engagement letter for the audit between the licensee or parent company of the licensee and the auditing firm.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491—14.12</w:t>
      </w:r>
      <w:r>
        <w:rPr>
          <w:rFonts w:ascii="Times New Roman" w:hAnsi="Times New Roman"/>
          <w:b/>
          <w:i w:val="false"/>
          <w:color w:val="000000"/>
          <w:sz w:val="22"/>
        </w:rPr>
        <w:t xml:space="preserve">(99E) </w:t>
      </w:r>
      <w:r>
        <w:rPr>
          <w:rFonts w:ascii="Times New Roman" w:hAnsi="Times New Roman"/>
          <w:b/>
          <w:i w:val="false"/>
          <w:color w:val="000000"/>
          <w:sz w:val="22"/>
        </w:rPr>
        <w:t xml:space="preserve">Abandoned accounts.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14.12(1)</w:t>
      </w:r>
      <w:r>
        <w:rPr>
          <w:rFonts w:ascii="Times New Roman" w:hAnsi="Times New Roman"/>
          <w:b w:val="false"/>
          <w:i w:val="false"/>
          <w:color w:val="000000"/>
          <w:sz w:val="22"/>
        </w:rPr>
        <w:t> </w:t>
      </w:r>
      <w:r>
        <w:rPr>
          <w:rFonts w:ascii="Times New Roman" w:hAnsi="Times New Roman"/>
          <w:b w:val="false"/>
          <w:i w:val="false"/>
          <w:color w:val="000000"/>
          <w:sz w:val="22"/>
        </w:rPr>
        <w:t xml:space="preserve">Abandoned player accounts under this rule are subject to Iowa Code chapter </w:t>
      </w:r>
      <w:hyperlink r:id="rId28">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Player accounts are considered abandoned if no activity by the account holder has occurred for three years. Player activity includes entering a contest, making an account deposit, or withdrawing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14.12(2)</w:t>
      </w:r>
      <w:r>
        <w:rPr>
          <w:rFonts w:ascii="Times New Roman" w:hAnsi="Times New Roman"/>
          <w:b w:val="false"/>
          <w:i w:val="false"/>
          <w:color w:val="000000"/>
          <w:sz w:val="22"/>
        </w:rPr>
        <w:t> </w:t>
      </w:r>
      <w:r>
        <w:rPr>
          <w:rFonts w:ascii="Times New Roman" w:hAnsi="Times New Roman"/>
          <w:b w:val="false"/>
          <w:i w:val="false"/>
          <w:color w:val="000000"/>
          <w:sz w:val="22"/>
        </w:rPr>
        <w:t>No internet fantasy sports contest service provider shall charge an administration fee or maintenance fee for any inactive player account derived from state of Iowa residents at any time for any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491—14.13</w:t>
      </w:r>
      <w:r>
        <w:rPr>
          <w:rFonts w:ascii="Times New Roman" w:hAnsi="Times New Roman"/>
          <w:b/>
          <w:i w:val="false"/>
          <w:color w:val="000000"/>
          <w:sz w:val="22"/>
        </w:rPr>
        <w:t xml:space="preserve">(99E) </w:t>
      </w:r>
      <w:r>
        <w:rPr>
          <w:rFonts w:ascii="Times New Roman" w:hAnsi="Times New Roman"/>
          <w:b/>
          <w:i w:val="false"/>
          <w:color w:val="000000"/>
          <w:sz w:val="22"/>
        </w:rPr>
        <w:t xml:space="preserve">Problem gambling.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14.13(1)</w:t>
      </w:r>
      <w:r>
        <w:rPr>
          <w:rFonts w:ascii="Times New Roman" w:hAnsi="Times New Roman"/>
          <w:b w:val="false"/>
          <w:i w:val="false"/>
          <w:color w:val="000000"/>
          <w:sz w:val="22"/>
        </w:rPr>
        <w:t> </w:t>
      </w:r>
      <w:r>
        <w:rPr>
          <w:rFonts w:ascii="Times New Roman" w:hAnsi="Times New Roman"/>
          <w:b w:val="false"/>
          <w:i w:val="false"/>
          <w:color w:val="000000"/>
          <w:sz w:val="22"/>
        </w:rPr>
        <w:t>The licensee shall adopt and implement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designed to identify compulsive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Policies and procedures designed to comply with the process established by the commission pursuant to Iowa Code section </w:t>
      </w:r>
      <w:hyperlink r:id="rId29">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designed to cooperate with the Iowa gambling treatment program in creating and establishing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designed to make information available to customers concerning assistance for compulsive play in Iowa, including websites or toll-free numbers directing customers to reputable resources containing further information, which shall be free of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process for players to easily impose limitations or notifications for deposits and monetary participation in a contest. Limitations must be applied automatically, take effect immediately, and be implemented as indicated by the player. No changes can be made reducing the severity of the self-imposed limitations for at least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process for players to easily self-exclude for a specified period of time and indefinitely. Self-exclusions must be applied automatically, take effect immediately, and be implemented as indicated by the player. No changes can be made to reduce the severity of the self-exclusion limitations for at least 24 hours. In the event of indefinite self-exclusion, the licensee must ensure that the player is paid in full for the player’s account balance within a reasonable time provided that the licensee acknowledges that the funds have cleared. Players must be easily and obviously directed via a link to exclude themselves pursuant to Iowa Code section </w:t>
      </w:r>
      <w:hyperlink r:id="rId30">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This control does not supersede the requirements set forth in Iowa Code section </w:t>
      </w:r>
      <w:hyperlink r:id="rId31">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process to review and deactivate accounts of newly enrolled participants of the statewide self-exclusion program set forth in Iowa Code section </w:t>
      </w:r>
      <w:hyperlink r:id="rId32">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The licensee must ensure that the player is paid in full for the player’s account balance provided that the licensee acknowledges that the funds have cleared.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also include on the internet site or mobile application the statewide telephone number of the Iowa department of health and human services to provide problem gambling information and extensive responsible gaming features in addition to those described in Iowa Code section </w:t>
      </w:r>
      <w:hyperlink r:id="rId33">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14.13(3)</w:t>
      </w:r>
      <w:r>
        <w:rPr>
          <w:rFonts w:ascii="Times New Roman" w:hAnsi="Times New Roman"/>
          <w:b w:val="false"/>
          <w:i w:val="false"/>
          <w:color w:val="000000"/>
          <w:sz w:val="22"/>
        </w:rPr>
        <w:t> </w:t>
      </w:r>
      <w:r>
        <w:rPr>
          <w:rFonts w:ascii="Times New Roman" w:hAnsi="Times New Roman"/>
          <w:b w:val="false"/>
          <w:i w:val="false"/>
          <w:color w:val="000000"/>
          <w:sz w:val="22"/>
        </w:rPr>
        <w:t xml:space="preserve">Money forfeited by a voluntarily excluded person pursuant to Iowa Code section </w:t>
      </w:r>
      <w:hyperlink r:id="rId34">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shall be withheld by the licensee and remitted to the general fund of the state by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491—14.14</w:t>
      </w:r>
      <w:r>
        <w:rPr>
          <w:rFonts w:ascii="Times New Roman" w:hAnsi="Times New Roman"/>
          <w:b/>
          <w:i w:val="false"/>
          <w:color w:val="000000"/>
          <w:sz w:val="22"/>
        </w:rPr>
        <w:t xml:space="preserve">(99E) </w:t>
      </w:r>
      <w:r>
        <w:rPr>
          <w:rFonts w:ascii="Times New Roman" w:hAnsi="Times New Roman"/>
          <w:b/>
          <w:i w:val="false"/>
          <w:color w:val="000000"/>
          <w:sz w:val="22"/>
        </w:rPr>
        <w:t xml:space="preserve">Licensing of internet fantasy sports contest service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w:t>
      </w:r>
      <w:r>
        <w:rPr>
          <w:rFonts w:ascii="Times New Roman" w:hAnsi="Times New Roman"/>
          <w:b w:val="false"/>
          <w:i w:val="false"/>
          <w:color w:val="000000"/>
          <w:sz w:val="22"/>
        </w:rPr>
        <w:t> </w:t>
      </w:r>
      <w:r>
        <w:rPr>
          <w:rFonts w:ascii="Times New Roman" w:hAnsi="Times New Roman"/>
          <w:b w:val="false"/>
          <w:i/>
          <w:color w:val="000000"/>
          <w:sz w:val="22"/>
        </w:rPr>
        <w:t xml:space="preserve">Operation. </w:t>
      </w:r>
      <w:r>
        <w:rPr>
          <w:rFonts w:ascii="Times New Roman" w:hAnsi="Times New Roman"/>
          <w:b w:val="false"/>
          <w:i w:val="false"/>
          <w:color w:val="000000"/>
          <w:sz w:val="22"/>
        </w:rPr>
        <w:t>The internet fantasy sports contest service provider shall submit the following for commission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Internal controls for the operation of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and certification of systems and procedures used by the internet fantasy sports contest service provider to validate the identity, age and location of licensee account holders and to validate the legality of wagers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of secure retention of all records related to internet fantasy sports contests and accounts for a period of not less than three years or such longer period as specified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of prompt commission access to all records relating to account holder identity, age and location in hard-copy or standard electronic format acceptable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that the player is not on the statewide voluntary self-exclusion list set forth in Iowa Code section </w:t>
      </w:r>
      <w:hyperlink r:id="rId35">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prior to establishing an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14.14(2)</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 storage required. Internet fantasy sports contest service providers shall maintain adequate records of business operations, which shall be made available to the administrator upon request. These records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correspondence with the administrator and other governmental agencies on the local, state, and federal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between the licensee and any of its customers who are applicants or licensees under Iowa Code chapter </w:t>
      </w:r>
      <w:hyperlink r:id="rId36">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Financial records of all transactions with players and all other licensees under these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retention. The records listed in </w:t>
      </w:r>
      <w:hyperlink r:id="rId37">
        <w:r>
          <w:rPr>
            <w:rStyle w:val="Hyperlink"/>
            <w:rFonts w:ascii="Times New Roman" w:hAnsi="Times New Roman"/>
            <w:b w:val="false"/>
            <w:i w:val="false"/>
            <w:color w:val="000000"/>
            <w:sz w:val="22"/>
          </w:rPr>
          <w:t>paragraph 14.14(2)</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retained as required by </w:t>
      </w:r>
      <w:hyperlink r:id="rId38">
        <w:r>
          <w:rPr>
            <w:rStyle w:val="Hyperlink"/>
            <w:rFonts w:ascii="Times New Roman" w:hAnsi="Times New Roman"/>
            <w:b w:val="false"/>
            <w:i w:val="false"/>
            <w:color w:val="000000"/>
            <w:sz w:val="22"/>
          </w:rPr>
          <w:t>491—subrule 5.4(14)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14.14(3)</w:t>
      </w:r>
      <w:r>
        <w:rPr>
          <w:rFonts w:ascii="Times New Roman" w:hAnsi="Times New Roman"/>
          <w:b w:val="false"/>
          <w:i w:val="false"/>
          <w:color w:val="000000"/>
          <w:sz w:val="22"/>
        </w:rPr>
        <w:t> </w:t>
      </w:r>
      <w:r>
        <w:rPr>
          <w:rFonts w:ascii="Times New Roman" w:hAnsi="Times New Roman"/>
          <w:b w:val="false"/>
          <w:i/>
          <w:color w:val="000000"/>
          <w:sz w:val="22"/>
        </w:rPr>
        <w:t xml:space="preserve">Violation of laws or regulations. </w:t>
      </w:r>
      <w:r>
        <w:rPr>
          <w:rFonts w:ascii="Times New Roman" w:hAnsi="Times New Roman"/>
          <w:b w:val="false"/>
          <w:i w:val="false"/>
          <w:color w:val="000000"/>
          <w:sz w:val="22"/>
        </w:rPr>
        <w:t xml:space="preserve">Violation of any provision of any laws of the state or of the United States of America or of any rules of the commission may constitute an unsuitable method of operation, subjecting the licensee to limiting, conditioning, restricting, revoking or suspending the license, or fining the licensee, or any combination of the above. The commission has the discretion to suspend fantasy sports contest operations of its licensees by written order if necessary.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9">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99E and </w:t>
      </w:r>
      <w:hyperlink r:id="rId40">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4618C, IAB 8/28/19, effective 7/31/19]</w:t>
      </w:r>
    </w:p>
    <w:p>
      <w:pPr>
        <w:spacing w:before="0" w:after="0"/>
        <w:ind w:left="120"/>
        <w:jc w:val="center"/>
      </w:pPr>
      <w:r>
        <w:rPr>
          <w:rFonts w:ascii="Times New Roman" w:hAnsi="Times New Roman"/>
          <w:b w:val="false"/>
          <w:i w:val="false"/>
          <w:color w:val="000000"/>
          <w:sz w:val="21"/>
        </w:rPr>
        <w:t>[Filed ARC 5016C</w:t>
      </w:r>
      <w:r>
        <w:rPr>
          <w:rFonts w:ascii="Times New Roman" w:hAnsi="Times New Roman"/>
          <w:b w:val="false"/>
          <w:i w:val="false"/>
          <w:color w:val="000000"/>
          <w:sz w:val="21"/>
        </w:rPr>
        <w:t xml:space="preserve"> (Amended Notice ARC 4807C, IAB 12/18/19; </w:t>
      </w:r>
      <w:r>
        <w:rPr>
          <w:rFonts w:ascii="Times New Roman" w:hAnsi="Times New Roman"/>
          <w:b w:val="false"/>
          <w:i w:val="false"/>
          <w:color w:val="000000"/>
          <w:sz w:val="21"/>
        </w:rPr>
        <w:t>Notice ARC 4617C, IAB 8/28/19)</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5422C</w:t>
      </w:r>
      <w:r>
        <w:rPr>
          <w:rFonts w:ascii="Times New Roman" w:hAnsi="Times New Roman"/>
          <w:b w:val="false"/>
          <w:i w:val="false"/>
          <w:color w:val="000000"/>
          <w:sz w:val="21"/>
        </w:rPr>
        <w:t xml:space="preserve"> (Notice ARC 5269C, IAB 11/18/20)</w:t>
      </w:r>
      <w:r>
        <w:rPr>
          <w:rFonts w:ascii="Times New Roman" w:hAnsi="Times New Roman"/>
          <w:b w:val="false"/>
          <w:i w:val="false"/>
          <w:color w:val="000000"/>
          <w:sz w:val="21"/>
        </w:rPr>
        <w:t>, IAB 2/10/21, effective 3/17/21]</w:t>
      </w:r>
      <w:r>
        <w:br/>
      </w:r>
      <w:r>
        <w:rPr>
          <w:rFonts w:ascii="Times New Roman" w:hAnsi="Times New Roman"/>
          <w:b w:val="false"/>
          <w:i w:val="false"/>
          <w:color w:val="000000"/>
          <w:sz w:val="21"/>
        </w:rPr>
        <w:t>[Filed ARC 5423C</w:t>
      </w:r>
      <w:r>
        <w:rPr>
          <w:rFonts w:ascii="Times New Roman" w:hAnsi="Times New Roman"/>
          <w:b w:val="false"/>
          <w:i w:val="false"/>
          <w:color w:val="000000"/>
          <w:sz w:val="21"/>
        </w:rPr>
        <w:t xml:space="preserve"> (Notice ARC 5315C, IAB 12/16/20)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6169C</w:t>
      </w:r>
      <w:r>
        <w:rPr>
          <w:rFonts w:ascii="Times New Roman" w:hAnsi="Times New Roman"/>
          <w:b w:val="false"/>
          <w:i w:val="false"/>
          <w:color w:val="000000"/>
          <w:sz w:val="21"/>
        </w:rPr>
        <w:t xml:space="preserve"> (Notice ARC 6056C,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6895C</w:t>
      </w:r>
      <w:r>
        <w:rPr>
          <w:rFonts w:ascii="Times New Roman" w:hAnsi="Times New Roman"/>
          <w:b w:val="false"/>
          <w:i w:val="false"/>
          <w:color w:val="000000"/>
          <w:sz w:val="21"/>
        </w:rPr>
        <w:t xml:space="preserve"> (Notice ARC 6610C, IAB 11/2/22)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11/1/23]</w:t>
      </w:r>
    </w:p>
    <w:p>
      <w:pPr>
        <w:spacing w:before="0" w:after="0"/>
        <w:ind w:left="120"/>
        <w:jc w:val="center"/>
      </w:pPr>
      <w:r>
        <w:rPr>
          <w:rFonts w:ascii="Times New Roman" w:hAnsi="Times New Roman"/>
          <w:b w:val="false"/>
          <w:i w:val="false"/>
          <w:color w:val="000000"/>
          <w:sz w:val="21"/>
        </w:rPr>
        <w:t>[Filed ARC 7634C</w:t>
      </w:r>
      <w:r>
        <w:rPr>
          <w:rFonts w:ascii="Times New Roman" w:hAnsi="Times New Roman"/>
          <w:b w:val="false"/>
          <w:i w:val="false"/>
          <w:color w:val="000000"/>
          <w:sz w:val="21"/>
        </w:rPr>
        <w:t xml:space="preserve"> (Notice ARC 7070C, IAB 9/20/23)</w:t>
      </w:r>
      <w:r>
        <w:rPr>
          <w:rFonts w:ascii="Times New Roman" w:hAnsi="Times New Roman"/>
          <w:b w:val="false"/>
          <w:i w:val="false"/>
          <w:color w:val="000000"/>
          <w:sz w:val="21"/>
        </w:rPr>
        <w:t>, IAB 2/21/24, effective 3/27/24]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5/29/24]</w:t>
      </w:r>
    </w:p>
    <w:p>
      <w:pPr>
        <w:spacing w:before="0" w:after="0"/>
        <w:ind w:left="120"/>
        <w:jc w:val="center"/>
      </w:pPr>
      <w:r>
        <w:rPr>
          <w:rFonts w:ascii="Times New Roman" w:hAnsi="Times New Roman"/>
          <w:b w:val="false"/>
          <w:i w:val="false"/>
          <w:color w:val="000000"/>
          <w:sz w:val="21"/>
        </w:rPr>
        <w:t>[Filed ARC 8892C</w:t>
      </w:r>
      <w:r>
        <w:rPr>
          <w:rFonts w:ascii="Times New Roman" w:hAnsi="Times New Roman"/>
          <w:b w:val="false"/>
          <w:i w:val="false"/>
          <w:color w:val="000000"/>
          <w:sz w:val="21"/>
        </w:rPr>
        <w:t xml:space="preserve"> (Notice ARC 8475C, IAB 12/11/24)</w:t>
      </w:r>
      <w:r>
        <w:rPr>
          <w:rFonts w:ascii="Times New Roman" w:hAnsi="Times New Roman"/>
          <w:b w:val="false"/>
          <w:i w:val="false"/>
          <w:color w:val="000000"/>
          <w:sz w:val="21"/>
        </w:rPr>
        <w:t>, IAB 2/19/25, effective 3/26/25]</w:t>
      </w:r>
    </w:p>
    <w:p>
      <w:pPr>
        <w:spacing w:before="0" w:after="0"/>
        <w:ind w:left="120"/>
        <w:jc w:val="both"/>
      </w:pPr>
      <w:r>
        <w:rPr>
          <w:rFonts w:ascii="Times New Roman" w:hAnsi="Times New Roman"/>
          <w:b w:val="false"/>
          <w:i w:val="false"/>
          <w:color w:val="000000"/>
          <w:sz w:val="22"/>
        </w:rPr>
        <w:t xml:space="preserve">March 27, 2024, effective date of Items 8 through 16 of </w:t>
      </w:r>
      <w:r>
        <w:rPr>
          <w:rFonts w:ascii="Times New Roman" w:hAnsi="Times New Roman"/>
          <w:b/>
          <w:i w:val="false"/>
          <w:color w:val="000000"/>
          <w:sz w:val="22"/>
        </w:rPr>
        <w:t>ARC 7634C</w:t>
      </w:r>
      <w:r>
        <w:rPr>
          <w:rFonts w:ascii="Times New Roman" w:hAnsi="Times New Roman"/>
          <w:b w:val="false"/>
          <w:i w:val="false"/>
          <w:color w:val="000000"/>
          <w:sz w:val="22"/>
        </w:rPr>
        <w:t xml:space="preserve"> delayed until the adjournment of the 2025 Legislative Session of the General Assembly by the Administrative Rules Review Committee at its meeting held March 11, 2024. Delay superseded by </w:t>
      </w:r>
      <w:r>
        <w:rPr>
          <w:rFonts w:ascii="Times New Roman" w:hAnsi="Times New Roman"/>
          <w:b/>
          <w:i w:val="false"/>
          <w:color w:val="000000"/>
          <w:sz w:val="22"/>
        </w:rPr>
        <w:t>ARC 8892C</w:t>
      </w:r>
      <w:r>
        <w:rPr>
          <w:rFonts w:ascii="Times New Roman" w:hAnsi="Times New Roman"/>
          <w:b w:val="false"/>
          <w:i w:val="false"/>
          <w:color w:val="000000"/>
          <w:sz w:val="22"/>
        </w:rPr>
        <w:t>, effective 3/26/25.</w:t>
      </w:r>
    </w:p>
    <w:p>
      <w:pPr>
        <w:spacing w:before="0" w:after="0"/>
        <w:ind w:left="120"/>
        <w:jc w:val="both"/>
      </w:pP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D.5.pdf" Type="http://schemas.openxmlformats.org/officeDocument/2006/relationships/hyperlink" Id="rId5"/>
    <Relationship TargetMode="External" Target="https://www.legis.iowa.gov/docs/ico/chapter/99D.pdf" Type="http://schemas.openxmlformats.org/officeDocument/2006/relationships/hyperlink" Id="rId6"/>
    <Relationship TargetMode="External" Target="https://www.legis.iowa.gov/docs/ico/chapter/99E.pdf" Type="http://schemas.openxmlformats.org/officeDocument/2006/relationships/hyperlink" Id="rId7"/>
    <Relationship TargetMode="External" Target="https://www.legis.iowa.gov/docs/ico/chapter/99F.pdf" Type="http://schemas.openxmlformats.org/officeDocument/2006/relationships/hyperlink" Id="rId8"/>
    <Relationship TargetMode="External" Target="https://www.legis.iowa.gov/docs/ico/chapter/99E.5.pdf" Type="http://schemas.openxmlformats.org/officeDocument/2006/relationships/hyperlink" Id="rId9"/>
    <Relationship TargetMode="External" Target="https://www.legis.iowa.gov/docs/ico/chapter/99E.pdf" Type="http://schemas.openxmlformats.org/officeDocument/2006/relationships/hyperlink" Id="rId10"/>
    <Relationship TargetMode="External" Target="https://www.legis.iowa.gov/docs/ico/chapter/99E.5.pdf" Type="http://schemas.openxmlformats.org/officeDocument/2006/relationships/hyperlink" Id="rId11"/>
    <Relationship TargetMode="External" Target="https://www.legis.iowa.gov/docs/iac/rule/491.6.2.pdf" Type="http://schemas.openxmlformats.org/officeDocument/2006/relationships/hyperlink" Id="rId12"/>
    <Relationship TargetMode="External" Target="https://www.legis.iowa.gov/docs/iac/rule/491.6.13.pdf" Type="http://schemas.openxmlformats.org/officeDocument/2006/relationships/hyperlink" Id="rId13"/>
    <Relationship TargetMode="External" Target="https://www.legis.iowa.gov/docs/iac/chapter/491.4.pdf" Type="http://schemas.openxmlformats.org/officeDocument/2006/relationships/hyperlink" Id="rId14"/>
    <Relationship TargetMode="External" Target="https://www.legis.iowa.gov/docs/iac/rule/491.14.2.pdf" Type="http://schemas.openxmlformats.org/officeDocument/2006/relationships/hyperlink" Id="rId15"/>
    <Relationship TargetMode="External" Target="https://www.legis.iowa.gov/docs/ico/chapter/99E.6.pdf" Type="http://schemas.openxmlformats.org/officeDocument/2006/relationships/hyperlink" Id="rId16"/>
    <Relationship TargetMode="External" Target="https://www.legis.iowa.gov/docs/ico/chapter/99E.1.pdf" Type="http://schemas.openxmlformats.org/officeDocument/2006/relationships/hyperlink" Id="rId17"/>
    <Relationship TargetMode="External" Target="https://www.legis.iowa.gov/docs/ico/chapter/99E.6.pdf" Type="http://schemas.openxmlformats.org/officeDocument/2006/relationships/hyperlink" Id="rId18"/>
    <Relationship TargetMode="External" Target="https://www.legis.iowa.gov/docs/ico/chapter/99E.6.pdf" Type="http://schemas.openxmlformats.org/officeDocument/2006/relationships/hyperlink" Id="rId19"/>
    <Relationship TargetMode="External" Target="https://www.legis.iowa.gov/docs/ico/chapter/99E.pdf" Type="http://schemas.openxmlformats.org/officeDocument/2006/relationships/hyperlink" Id="rId20"/>
    <Relationship TargetMode="External" Target="https://www.legis.iowa.gov/docs/iac/rule/491.5.4.pdf" Type="http://schemas.openxmlformats.org/officeDocument/2006/relationships/hyperlink" Id="rId21"/>
    <Relationship TargetMode="External" Target="https://www.legis.iowa.gov/docs/ico/chapter/99F.4.pdf" Type="http://schemas.openxmlformats.org/officeDocument/2006/relationships/hyperlink" Id="rId22"/>
    <Relationship TargetMode="External" Target="https://www.legis.iowa.gov/docs/iac/rule/491.5.4.pdf" Type="http://schemas.openxmlformats.org/officeDocument/2006/relationships/hyperlink" Id="rId23"/>
    <Relationship TargetMode="External" Target="https://www.legis.iowa.gov/docs/ico/chapter/99D.pdf" Type="http://schemas.openxmlformats.org/officeDocument/2006/relationships/hyperlink" Id="rId24"/>
    <Relationship TargetMode="External" Target="https://www.legis.iowa.gov/docs/ico/chapter/99E.pdf" Type="http://schemas.openxmlformats.org/officeDocument/2006/relationships/hyperlink" Id="rId25"/>
    <Relationship TargetMode="External" Target="https://www.legis.iowa.gov/docs/ico/chapter/99F.pdf" Type="http://schemas.openxmlformats.org/officeDocument/2006/relationships/hyperlink" Id="rId26"/>
    <Relationship TargetMode="External" Target="https://www.legis.iowa.gov/docs/ico/chapter/99F.4.pdf" Type="http://schemas.openxmlformats.org/officeDocument/2006/relationships/hyperlink" Id="rId27"/>
    <Relationship TargetMode="External" Target="https://www.legis.iowa.gov/docs/ico/chapter/556.pdf" Type="http://schemas.openxmlformats.org/officeDocument/2006/relationships/hyperlink" Id="rId28"/>
    <Relationship TargetMode="External" Target="https://www.legis.iowa.gov/docs/ico/chapter/99F.4.pdf" Type="http://schemas.openxmlformats.org/officeDocument/2006/relationships/hyperlink" Id="rId29"/>
    <Relationship TargetMode="External" Target="https://www.legis.iowa.gov/docs/ico/chapter/99F.4.pdf" Type="http://schemas.openxmlformats.org/officeDocument/2006/relationships/hyperlink" Id="rId30"/>
    <Relationship TargetMode="External" Target="https://www.legis.iowa.gov/docs/ico/chapter/99F.4.pdf" Type="http://schemas.openxmlformats.org/officeDocument/2006/relationships/hyperlink" Id="rId31"/>
    <Relationship TargetMode="External" Target="https://www.legis.iowa.gov/docs/ico/chapter/99F.4.pdf" Type="http://schemas.openxmlformats.org/officeDocument/2006/relationships/hyperlink" Id="rId32"/>
    <Relationship TargetMode="External" Target="https://www.legis.iowa.gov/docs/ico/chapter/99F.4.pdf" Type="http://schemas.openxmlformats.org/officeDocument/2006/relationships/hyperlink" Id="rId33"/>
    <Relationship TargetMode="External" Target="https://www.legis.iowa.gov/docs/ico/chapter/99F.4.pdf" Type="http://schemas.openxmlformats.org/officeDocument/2006/relationships/hyperlink" Id="rId34"/>
    <Relationship TargetMode="External" Target="https://www.legis.iowa.gov/docs/ico/chapter/99F.4.pdf" Type="http://schemas.openxmlformats.org/officeDocument/2006/relationships/hyperlink" Id="rId35"/>
    <Relationship TargetMode="External" Target="https://www.legis.iowa.gov/docs/ico/chapter/99E.pdf" Type="http://schemas.openxmlformats.org/officeDocument/2006/relationships/hyperlink" Id="rId36"/>
    <Relationship TargetMode="External" Target="https://www.legis.iowa.gov/docs/iac/rule/491.14.14.pdf" Type="http://schemas.openxmlformats.org/officeDocument/2006/relationships/hyperlink" Id="rId37"/>
    <Relationship TargetMode="External" Target="https://www.legis.iowa.gov/docs/iac/rule/491.5.4.pdf" Type="http://schemas.openxmlformats.org/officeDocument/2006/relationships/hyperlink" Id="rId38"/>
    <Relationship TargetMode="External" Target="https://www.legis.iowa.gov/docs/ico/chapter/99D.pdf" Type="http://schemas.openxmlformats.org/officeDocument/2006/relationships/hyperlink" Id="rId39"/>
    <Relationship TargetMode="External" Target="https://www.legis.iowa.gov/docs/ico/chapter/99F.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