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FUNCTIONS AND PROVISIONS OF THE CHILD ADVOCACY BOARD</w:t>
      </w:r>
    </w:p>
    <w:p>
      <w:pPr>
        <w:spacing w:before="0" w:after="0"/>
        <w:ind w:left="120"/>
        <w:jc w:val="center"/>
      </w:pPr>
      <w:r>
        <w:rPr>
          <w:rFonts w:ascii="Times New Roman" w:hAnsi="Times New Roman"/>
          <w:b w:val="false"/>
          <w:i w:val="false"/>
          <w:color w:val="000000"/>
          <w:sz w:val="20"/>
        </w:rPr>
        <w:t>[Prior to 3/23/88, see Foster Care Review Board[445] 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8/1/31</w:t>
      </w:r>
    </w:p>
    <w:p>
      <w:pPr>
        <w:spacing w:before="0" w:after="0"/>
        <w:ind w:left="120"/>
        <w:jc w:val="both"/>
      </w:pPr>
      <w:r>
        <w:rPr>
          <w:rFonts w:ascii="Times New Roman" w:hAnsi="Times New Roman"/>
          <w:b/>
          <w:i w:val="false"/>
          <w:color w:val="000000"/>
          <w:sz w:val="22"/>
        </w:rPr>
        <w:t>489—1.1</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of the child advocacy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w:t>
      </w:r>
      <w:r>
        <w:rPr>
          <w:rFonts w:ascii="Times New Roman" w:hAnsi="Times New Roman"/>
          <w:b w:val="false"/>
          <w:i w:val="false"/>
          <w:color w:val="000000"/>
          <w:sz w:val="22"/>
        </w:rPr>
        <w:t> </w:t>
      </w:r>
      <w:r>
        <w:rPr>
          <w:rFonts w:ascii="Times New Roman" w:hAnsi="Times New Roman"/>
          <w:b w:val="false"/>
          <w:i w:val="false"/>
          <w:color w:val="000000"/>
          <w:sz w:val="22"/>
        </w:rPr>
        <w:t>means that the applicant has met the requirements to become a court appointed special advocate.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“CASA volunteer”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“CASA”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“advocate”</w:t>
      </w:r>
      <w:r>
        <w:rPr>
          <w:rFonts w:ascii="Times New Roman" w:hAnsi="Times New Roman"/>
          <w:b w:val="false"/>
          <w:i w:val="false"/>
          <w:color w:val="000000"/>
          <w:sz w:val="22"/>
        </w:rPr>
        <w:t xml:space="preserve"> means a person who is duly trained and approved by the department of health and human services for participation in the court appointed special advocate program and appointed by the court to represent the interest of a child in any judicial proceeding to which the child is a party or is called as a witness or relating to any dispositional order involving the child resulting from the proceeding. Unless otherwise directed by a court, the duties of a court appointed special advocate with respect to a child are pursuant to Iowa Code section </w:t>
      </w:r>
      <w:hyperlink r:id="rId5">
        <w:r>
          <w:rPr>
            <w:rStyle w:val="Hyperlink"/>
            <w:rFonts w:ascii="Times New Roman" w:hAnsi="Times New Roman"/>
            <w:b w:val="false"/>
            <w:i w:val="false"/>
            <w:color w:val="000000"/>
            <w:sz w:val="22"/>
          </w:rPr>
          <w:t>237.24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 permanency plan”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232.2(6)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“CASA coach”</w:t>
      </w:r>
      <w:r>
        <w:rPr>
          <w:rFonts w:ascii="Times New Roman" w:hAnsi="Times New Roman"/>
          <w:b w:val="false"/>
          <w:i w:val="false"/>
          <w:color w:val="000000"/>
          <w:sz w:val="22"/>
        </w:rPr>
        <w:t> </w:t>
      </w:r>
      <w:r>
        <w:rPr>
          <w:rFonts w:ascii="Times New Roman" w:hAnsi="Times New Roman"/>
          <w:b w:val="false"/>
          <w:i w:val="false"/>
          <w:color w:val="000000"/>
          <w:sz w:val="22"/>
        </w:rPr>
        <w:t>means a duly approved court appointed special advocate volunteer who has received additional training to assist the coordinator by overseeing facets of the court appointed special advocate’s case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“Court appointed special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232.2(12)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237.15(4)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“Fictive kin”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232.2(24)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 or court responsible for the child”</w:t>
      </w:r>
      <w:r>
        <w:rPr>
          <w:rFonts w:ascii="Times New Roman" w:hAnsi="Times New Roman"/>
          <w:b w:val="false"/>
          <w:i w:val="false"/>
          <w:color w:val="000000"/>
          <w:sz w:val="22"/>
        </w:rPr>
        <w:t> </w:t>
      </w:r>
      <w:r>
        <w:rPr>
          <w:rFonts w:ascii="Times New Roman" w:hAnsi="Times New Roman"/>
          <w:b w:val="false"/>
          <w:i w:val="false"/>
          <w:color w:val="000000"/>
          <w:sz w:val="22"/>
        </w:rPr>
        <w:t>means the department, including but not limited to the department, agency, or individual who is the guardian of a child by court order issued by the juvenile or district court and has the responsibility of the care of the child, or the court having jurisdiction over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board”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child advocacy board created pursuant to Iowa Code section </w:t>
      </w:r>
      <w:hyperlink r:id="rId10">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237.15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489—1.2</w:t>
      </w:r>
      <w:r>
        <w:rPr>
          <w:rFonts w:ascii="Times New Roman" w:hAnsi="Times New Roman"/>
          <w:b/>
          <w:i w:val="false"/>
          <w:color w:val="000000"/>
          <w:sz w:val="22"/>
        </w:rPr>
        <w:t xml:space="preserve">(237) </w:t>
      </w:r>
      <w:r>
        <w:rPr>
          <w:rFonts w:ascii="Times New Roman" w:hAnsi="Times New Roman"/>
          <w:b/>
          <w:i w:val="false"/>
          <w:color w:val="000000"/>
          <w:sz w:val="22"/>
        </w:rPr>
        <w:t xml:space="preserve">Membership and term.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is created within the department. Membership and terms of appointment are detailed in Iowa Code section </w:t>
      </w:r>
      <w:hyperlink r:id="rId14">
        <w:r>
          <w:rPr>
            <w:rStyle w:val="Hyperlink"/>
            <w:rFonts w:ascii="Times New Roman" w:hAnsi="Times New Roman"/>
            <w:b w:val="false"/>
            <w:i w:val="false"/>
            <w:color w:val="000000"/>
            <w:sz w:val="22"/>
          </w:rPr>
          <w:t>237.16(1)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board shall meet as necessary, as set forth in Iowa Code section </w:t>
      </w:r>
      <w:hyperlink r:id="rId15">
        <w:r>
          <w:rPr>
            <w:rStyle w:val="Hyperlink"/>
            <w:rFonts w:ascii="Times New Roman" w:hAnsi="Times New Roman"/>
            <w:b w:val="false"/>
            <w:i w:val="false"/>
            <w:color w:val="000000"/>
            <w:sz w:val="22"/>
          </w:rPr>
          <w:t>237.16(2)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quorum shall consist of a majority of the members. When a quorum is present, a position is carried by an affirmative vote of a majority of the members present.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state board meetings are available on the department’s 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each meeting shall be given pursuant to Iowa Code chapter </w:t>
      </w:r>
      <w:hyperlink r:id="rId1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chairperson of the state board determines that a special or electronic meeting is required, the meeting shall be held in accordance with Iowa Code section </w:t>
      </w:r>
      <w:hyperlink r:id="rId1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xml:space="preserve"> or </w:t>
      </w:r>
      <w:hyperlink r:id="rId18">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Persons wishing to appear before the state board shall submit the request to the state board office not less than ten days prior to the meeting. Presentations may be made at the discretion of the chairperson and only upon matters appearing on the agenda. Persons wishing to submit written material should do so at least ten days in advance of the scheduled meeting to ensure that state board members have adequate time to receive and evaluate the material.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237.16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489—1.3</w:t>
      </w:r>
      <w:r>
        <w:rPr>
          <w:rFonts w:ascii="Times New Roman" w:hAnsi="Times New Roman"/>
          <w:b/>
          <w:i w:val="false"/>
          <w:color w:val="000000"/>
          <w:sz w:val="22"/>
        </w:rPr>
        <w:t xml:space="preserve">(237) </w:t>
      </w:r>
      <w:r>
        <w:rPr>
          <w:rFonts w:ascii="Times New Roman" w:hAnsi="Times New Roman"/>
          <w:b/>
          <w:i w:val="false"/>
          <w:color w:val="000000"/>
          <w:sz w:val="22"/>
        </w:rPr>
        <w:t xml:space="preserve">Leadership.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w:t>
      </w:r>
      <w:r>
        <w:rPr>
          <w:rFonts w:ascii="Times New Roman" w:hAnsi="Times New Roman"/>
          <w:b w:val="false"/>
          <w:i w:val="false"/>
          <w:color w:val="000000"/>
          <w:sz w:val="22"/>
        </w:rPr>
        <w:t> </w:t>
      </w:r>
      <w:r>
        <w:rPr>
          <w:rFonts w:ascii="Times New Roman" w:hAnsi="Times New Roman"/>
          <w:b w:val="false"/>
          <w:i w:val="false"/>
          <w:color w:val="000000"/>
          <w:sz w:val="22"/>
        </w:rPr>
        <w:t>The director ensures adequate leadership, oversight of programs, and ongoing administration of the state board’s activities and of the court appointed special advocate program. The director employs, discharges, trains, and supervises foster care review and court appointed special advocate program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w:t>
      </w:r>
      <w:r>
        <w:rPr>
          <w:rFonts w:ascii="Times New Roman" w:hAnsi="Times New Roman"/>
          <w:b w:val="false"/>
          <w:i w:val="false"/>
          <w:color w:val="000000"/>
          <w:sz w:val="22"/>
        </w:rPr>
        <w:t> </w:t>
      </w:r>
      <w:r>
        <w:rPr>
          <w:rFonts w:ascii="Times New Roman" w:hAnsi="Times New Roman"/>
          <w:b w:val="false"/>
          <w:i w:val="false"/>
          <w:color w:val="000000"/>
          <w:sz w:val="22"/>
        </w:rPr>
        <w:t>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Administer funds necessary for operations of foster care reviews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Develop and implement policies and procedures needed to implement requirements of federal law and regulations and state law and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Develop and recommend administrative rules for promulgation by the state board as needed to govern the operation of the state board, foster care reviews,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Ensure training is provided for state board members, court appointed special advocates and coaches, and any other volunteers supporting the state board’s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relationships are developed and maintained with judges, juvenile court referees, local departments, juvenile court services, and advocacy groups.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Coordinate efforts to ensure community awareness of the state board and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closely with allied agencies and associations to ensure that efforts relating to the state board and the court appointed special advocate program are coordinated and consistent.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2">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237.18(5)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489—1.4</w:t>
      </w:r>
      <w:r>
        <w:rPr>
          <w:rFonts w:ascii="Times New Roman" w:hAnsi="Times New Roman"/>
          <w:b/>
          <w:i w:val="false"/>
          <w:color w:val="000000"/>
          <w:sz w:val="22"/>
        </w:rPr>
        <w:t xml:space="preserve">(237) </w:t>
      </w:r>
      <w:r>
        <w:rPr>
          <w:rFonts w:ascii="Times New Roman" w:hAnsi="Times New Roman"/>
          <w:b/>
          <w:i w:val="false"/>
          <w:color w:val="000000"/>
          <w:sz w:val="22"/>
        </w:rPr>
        <w:t xml:space="preserve">Foster care registry.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w:t>
      </w:r>
      <w:r>
        <w:rPr>
          <w:rFonts w:ascii="Times New Roman" w:hAnsi="Times New Roman"/>
          <w:b w:val="false"/>
          <w:i w:val="false"/>
          <w:color w:val="000000"/>
          <w:sz w:val="22"/>
        </w:rPr>
        <w:t> </w:t>
      </w:r>
      <w:r>
        <w:rPr>
          <w:rFonts w:ascii="Times New Roman" w:hAnsi="Times New Roman"/>
          <w:b w:val="false"/>
          <w:i/>
          <w:color w:val="000000"/>
          <w:sz w:val="22"/>
        </w:rPr>
        <w:t xml:space="preserve">Placement. </w:t>
      </w:r>
      <w:r>
        <w:rPr>
          <w:rFonts w:ascii="Times New Roman" w:hAnsi="Times New Roman"/>
          <w:b w:val="false"/>
          <w:i w:val="false"/>
          <w:color w:val="000000"/>
          <w:sz w:val="22"/>
        </w:rPr>
        <w:t xml:space="preserve">The state board shall establish a registry of the placements of all children receiving foster care as set forth in Iowa Code section </w:t>
      </w:r>
      <w:hyperlink r:id="rId24">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2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records. </w:t>
      </w:r>
      <w:r>
        <w:rPr>
          <w:rFonts w:ascii="Times New Roman" w:hAnsi="Times New Roman"/>
          <w:b w:val="false"/>
          <w:i w:val="false"/>
          <w:color w:val="000000"/>
          <w:sz w:val="22"/>
        </w:rPr>
        <w:t xml:space="preserve">The state board, court appointed special advocates and coaches, and child advocacy employees shall adhere to the confidentiality requirements established in Iowa Code section </w:t>
      </w:r>
      <w:hyperlink r:id="rId27">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2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489—1.5</w:t>
      </w:r>
      <w:r>
        <w:rPr>
          <w:rFonts w:ascii="Times New Roman" w:hAnsi="Times New Roman"/>
          <w:b/>
          <w:i w:val="false"/>
          <w:color w:val="000000"/>
          <w:sz w:val="22"/>
        </w:rPr>
        <w:t xml:space="preserve">(237) </w:t>
      </w:r>
      <w:r>
        <w:rPr>
          <w:rFonts w:ascii="Times New Roman" w:hAnsi="Times New Roman"/>
          <w:b/>
          <w:i w:val="false"/>
          <w:color w:val="000000"/>
          <w:sz w:val="22"/>
        </w:rPr>
        <w:t xml:space="preserve">Foster care review. </w:t>
      </w:r>
      <w:r>
        <w:rPr>
          <w:rFonts w:ascii="Times New Roman" w:hAnsi="Times New Roman"/>
          <w:b w:val="false"/>
          <w:i w:val="false"/>
          <w:color w:val="000000"/>
          <w:sz w:val="22"/>
        </w:rPr>
        <w:t xml:space="preserve">The state board is required by Iowa Code section </w:t>
      </w:r>
      <w:hyperlink r:id="rId30">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 xml:space="preserve"> to establish procedures and protocols for completing reviews of the cases of children in foster care, including a recordkeeping system and training requirements for individuals completing reviews.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Establishing procedures and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is responsible for approval of policy and procedures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and submits to the state board for approval policy and procedures that provide detailed guidance to individuals reviewing the cases of children in foster care on application of these rules and the statutes that govern foster care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Individuals reviewing the cases of children in foster care under the oversight of the state board are required to comply with the protocols and procedures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Implementation of policy and procedures is the responsibility of the department.</w:t>
      </w:r>
    </w:p>
    <w:p>
      <w:pPr>
        <w:spacing w:before="0" w:after="0"/>
        <w:ind w:left="120"/>
        <w:jc w:val="both"/>
      </w:pPr>
      <w:r>
        <w:rPr>
          <w:rFonts w:ascii="Times New Roman" w:hAnsi="Times New Roman"/>
          <w:b w:val="false"/>
          <w:i w:val="false"/>
          <w:color w:val="000000"/>
          <w:sz w:val="22"/>
        </w:rPr>
        <w:t xml:space="preserve">This subrule is intended to implement Iowa Code sections </w:t>
      </w:r>
      <w:hyperlink r:id="rId3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Findings and recommendations. </w:t>
      </w:r>
      <w:r>
        <w:rPr>
          <w:rFonts w:ascii="Times New Roman" w:hAnsi="Times New Roman"/>
          <w:b w:val="false"/>
          <w:i w:val="false"/>
          <w:color w:val="000000"/>
          <w:sz w:val="22"/>
        </w:rPr>
        <w:t>The department will submit the findings and recommendations of foster care reviews to the state board. The report to the state board will include information regarding the permanency plan and the progress in attaining the permanency goals.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3">
        <w:r>
          <w:rPr>
            <w:rStyle w:val="Hyperlink"/>
            <w:rFonts w:ascii="Times New Roman" w:hAnsi="Times New Roman"/>
            <w:b w:val="false"/>
            <w:i w:val="false"/>
            <w:color w:val="000000"/>
            <w:sz w:val="22"/>
          </w:rPr>
          <w:t>237.19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489—1.6</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 eligible for review. </w:t>
      </w:r>
      <w:r>
        <w:rPr>
          <w:rFonts w:ascii="Times New Roman" w:hAnsi="Times New Roman"/>
          <w:b w:val="false"/>
          <w:i w:val="false"/>
          <w:color w:val="000000"/>
          <w:sz w:val="22"/>
        </w:rPr>
        <w:t>To be eligible for review, the child shall have received services from the department during the period under review.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489—1.7</w:t>
      </w:r>
      <w:r>
        <w:rPr>
          <w:rFonts w:ascii="Times New Roman" w:hAnsi="Times New Roman"/>
          <w:b/>
          <w:i w:val="false"/>
          <w:color w:val="000000"/>
          <w:sz w:val="22"/>
        </w:rPr>
        <w:t xml:space="preserve">(237) </w:t>
      </w:r>
      <w:r>
        <w:rPr>
          <w:rFonts w:ascii="Times New Roman" w:hAnsi="Times New Roman"/>
          <w:b/>
          <w:i w:val="false"/>
          <w:color w:val="000000"/>
          <w:sz w:val="22"/>
        </w:rPr>
        <w:t xml:space="preserve">Court appointed special advocate program. </w:t>
      </w:r>
      <w:r>
        <w:rPr>
          <w:rFonts w:ascii="Times New Roman" w:hAnsi="Times New Roman"/>
          <w:b w:val="false"/>
          <w:i w:val="false"/>
          <w:color w:val="000000"/>
          <w:sz w:val="22"/>
        </w:rPr>
        <w:t xml:space="preserve">The state board is required by Iowa Code section </w:t>
      </w:r>
      <w:hyperlink r:id="rId36">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 xml:space="preserve"> to establish procedures and protocols for administering the court appointed special advocate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489—1.8</w:t>
      </w:r>
      <w:r>
        <w:rPr>
          <w:rFonts w:ascii="Times New Roman" w:hAnsi="Times New Roman"/>
          <w:b/>
          <w:i w:val="false"/>
          <w:color w:val="000000"/>
          <w:sz w:val="22"/>
        </w:rPr>
        <w:t xml:space="preserve">(237) </w:t>
      </w:r>
      <w:r>
        <w:rPr>
          <w:rFonts w:ascii="Times New Roman" w:hAnsi="Times New Roman"/>
          <w:b/>
          <w:i w:val="false"/>
          <w:color w:val="000000"/>
          <w:sz w:val="22"/>
        </w:rPr>
        <w:t xml:space="preserve">Program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1.8(1)</w:t>
      </w:r>
      <w:r>
        <w:rPr>
          <w:rFonts w:ascii="Times New Roman" w:hAnsi="Times New Roman"/>
          <w:b w:val="false"/>
          <w:i w:val="false"/>
          <w:color w:val="000000"/>
          <w:sz w:val="22"/>
        </w:rPr>
        <w:t> </w:t>
      </w:r>
      <w:r>
        <w:rPr>
          <w:rFonts w:ascii="Times New Roman" w:hAnsi="Times New Roman"/>
          <w:b w:val="false"/>
          <w:i/>
          <w:color w:val="000000"/>
          <w:sz w:val="22"/>
        </w:rPr>
        <w:t xml:space="preserve">Establishing additional procedures and protocols.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state board is responsible for approval of procedures and protocols consistent with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and submits to the state board for approval a program policy and procedures manual that provides detailed guidance to department staff and volunteers on application of these rules and the statutes that govern the operation of the court appointed special advocate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Department staff and volunteers are required to comply with the protocols and procedures approved by the state board and the provisions of the policy and procedures manual established by the department and approved by the state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Implementation of program policy is the responsibility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is responsible for recruiting, screening, selecting, training, and supervising court appointed special advocates.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CASA selection is made in a manner that provides the best match available between the knowledge, skills, abilities, and availability of the advocate and the needs of the child. The assignments shall be made in a manner that avoids conflicts of interest, risk to the child’s or advocate’s safety, or jeopardy to the program’s integrity.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Upon selection of the CASA who will serve on an individual case, the court and all interested parties are notified of the selection.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selected CASA continues to serve on the case until the assignment is terminated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489—1.9</w:t>
      </w:r>
      <w:r>
        <w:rPr>
          <w:rFonts w:ascii="Times New Roman" w:hAnsi="Times New Roman"/>
          <w:b/>
          <w:i w:val="false"/>
          <w:color w:val="000000"/>
          <w:sz w:val="22"/>
        </w:rPr>
        <w:t xml:space="preserve">(237) </w:t>
      </w:r>
      <w:r>
        <w:rPr>
          <w:rFonts w:ascii="Times New Roman" w:hAnsi="Times New Roman"/>
          <w:b/>
          <w:i w:val="false"/>
          <w:color w:val="000000"/>
          <w:sz w:val="22"/>
        </w:rPr>
        <w:t xml:space="preserve">Adherence to national guidelines. </w:t>
      </w:r>
      <w:r>
        <w:rPr>
          <w:rFonts w:ascii="Times New Roman" w:hAnsi="Times New Roman"/>
          <w:b w:val="false"/>
          <w:i w:val="false"/>
          <w:color w:val="000000"/>
          <w:sz w:val="22"/>
        </w:rPr>
        <w:t>The National Court Appointed Special Advocate/Guardian ad Litem Association for Children has established a national quality assurance system for CASA programs. The primary goal of the system is to strengthen CASA organizations and support their efforts to provide high-quality child advocacy and achieve the maximum level of excellence. CASA of Iowa shall continue to maintain compliance with the standards and, within the limits of available funding, shall deploy resources to maintain compliance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w:t>
      </w:r>
      <w:r>
        <w:rPr>
          <w:rFonts w:ascii="Times New Roman" w:hAnsi="Times New Roman"/>
          <w:b w:val="false"/>
          <w:i w:val="false"/>
          <w:color w:val="000000"/>
          <w:sz w:val="22"/>
        </w:rPr>
        <w:t> </w:t>
      </w:r>
      <w:r>
        <w:rPr>
          <w:rFonts w:ascii="Times New Roman" w:hAnsi="Times New Roman"/>
          <w:b w:val="false"/>
          <w:i/>
          <w:color w:val="000000"/>
          <w:sz w:val="22"/>
        </w:rPr>
        <w:t xml:space="preserve">CASA advocate qualifications. </w:t>
      </w:r>
      <w:r>
        <w:rPr>
          <w:rFonts w:ascii="Times New Roman" w:hAnsi="Times New Roman"/>
          <w:b w:val="false"/>
          <w:i w:val="false"/>
          <w:color w:val="000000"/>
          <w:sz w:val="22"/>
        </w:rPr>
        <w:t>Potential coaches and advocates shall meet the qualifications defined by the National CASA Association for Children Standards as amended to August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1.9(2)</w:t>
      </w:r>
      <w:r>
        <w:rPr>
          <w:rFonts w:ascii="Times New Roman" w:hAnsi="Times New Roman"/>
          <w:b w:val="false"/>
          <w:i w:val="false"/>
          <w:color w:val="000000"/>
          <w:sz w:val="22"/>
        </w:rPr>
        <w:t> </w:t>
      </w:r>
      <w:r>
        <w:rPr>
          <w:rFonts w:ascii="Times New Roman" w:hAnsi="Times New Roman"/>
          <w:b w:val="false"/>
          <w:i/>
          <w:color w:val="000000"/>
          <w:sz w:val="22"/>
        </w:rPr>
        <w:t xml:space="preserve">Application requirements for CASA volunteers. </w:t>
      </w:r>
      <w:r>
        <w:rPr>
          <w:rFonts w:ascii="Times New Roman" w:hAnsi="Times New Roman"/>
          <w:b w:val="false"/>
          <w:i w:val="false"/>
          <w:color w:val="000000"/>
          <w:sz w:val="22"/>
        </w:rPr>
        <w:t>All CASA volunteer applicants shall complete the requirements defined in the National CASA Association for Children Standards as amended to August 1, 2026.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9">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489—1.10</w:t>
      </w:r>
      <w:r>
        <w:rPr>
          <w:rFonts w:ascii="Times New Roman" w:hAnsi="Times New Roman"/>
          <w:b/>
          <w:i w:val="false"/>
          <w:color w:val="000000"/>
          <w:sz w:val="22"/>
        </w:rPr>
        <w:t xml:space="preserve">(237) </w:t>
      </w:r>
      <w:r>
        <w:rPr>
          <w:rFonts w:ascii="Times New Roman" w:hAnsi="Times New Roman"/>
          <w:b/>
          <w:i w:val="false"/>
          <w:color w:val="000000"/>
          <w:sz w:val="22"/>
        </w:rPr>
        <w:t xml:space="preserve">Training. </w:t>
      </w:r>
      <w:r>
        <w:rPr>
          <w:rFonts w:ascii="Times New Roman" w:hAnsi="Times New Roman"/>
          <w:b w:val="false"/>
          <w:i w:val="false"/>
          <w:color w:val="000000"/>
          <w:sz w:val="22"/>
        </w:rPr>
        <w:t>All court appointed special advocates, volunteers, and staff shall complete pre-service and continuing education requirements as defined in the National CASA Association for Children Standards as amended to August 1, 2026.</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489—1.11</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 eligible for assignment of a court appointed special advocate. </w:t>
      </w:r>
      <w:r>
        <w:rPr>
          <w:rFonts w:ascii="Times New Roman" w:hAnsi="Times New Roman"/>
          <w:b w:val="false"/>
          <w:i w:val="false"/>
          <w:color w:val="000000"/>
          <w:sz w:val="22"/>
        </w:rPr>
        <w:t>CASA of Iowa serves any child for whom the court appoints a court appointed special advocate as long as the resources to do so are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3">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237.18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0344D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5/30/85—published 6/19/85, effective 5/30/85]</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3/3/88, Notice 1/27/88—published 3/23/88, effective 4/27/88]</w:t>
      </w:r>
    </w:p>
    <w:p>
      <w:pPr>
        <w:spacing w:before="0" w:after="0"/>
        <w:ind w:left="120"/>
        <w:jc w:val="center"/>
      </w:pPr>
      <w:r>
        <w:rPr>
          <w:rFonts w:ascii="Times New Roman" w:hAnsi="Times New Roman"/>
          <w:b w:val="false"/>
          <w:i w:val="false"/>
          <w:color w:val="000000"/>
          <w:sz w:val="21"/>
        </w:rPr>
        <w:t>[Filed 9/2/88, Notice 6/15/88—published 9/21/88, effective 10/26/88]</w:t>
      </w:r>
    </w:p>
    <w:p>
      <w:pPr>
        <w:spacing w:before="0" w:after="0"/>
        <w:ind w:left="120"/>
        <w:jc w:val="center"/>
      </w:pPr>
      <w:r>
        <w:rPr>
          <w:rFonts w:ascii="Times New Roman" w:hAnsi="Times New Roman"/>
          <w:b w:val="false"/>
          <w:i w:val="false"/>
          <w:color w:val="000000"/>
          <w:sz w:val="21"/>
        </w:rPr>
        <w:t>[Filed ARC 3054C</w:t>
      </w:r>
      <w:r>
        <w:rPr>
          <w:rFonts w:ascii="Times New Roman" w:hAnsi="Times New Roman"/>
          <w:b w:val="false"/>
          <w:i w:val="false"/>
          <w:color w:val="000000"/>
          <w:sz w:val="21"/>
        </w:rPr>
        <w:t xml:space="preserve"> (Notice ARC 2974C, IAB 3/15/17)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6676C</w:t>
      </w:r>
      <w:r>
        <w:rPr>
          <w:rFonts w:ascii="Times New Roman" w:hAnsi="Times New Roman"/>
          <w:b w:val="false"/>
          <w:i w:val="false"/>
          <w:color w:val="000000"/>
          <w:sz w:val="21"/>
        </w:rPr>
        <w:t xml:space="preserve"> (Notice ARC 6544C, IAB 9/21/22)</w:t>
      </w:r>
      <w:r>
        <w:rPr>
          <w:rFonts w:ascii="Times New Roman" w:hAnsi="Times New Roman"/>
          <w:b w:val="false"/>
          <w:i w:val="false"/>
          <w:color w:val="000000"/>
          <w:sz w:val="21"/>
        </w:rPr>
        <w:t>, IAB 11/16/22, effective 12/21/22]</w:t>
      </w:r>
    </w:p>
    <w:p>
      <w:pPr>
        <w:spacing w:before="0" w:after="0"/>
        <w:ind w:left="120"/>
        <w:jc w:val="center"/>
      </w:pPr>
      <w:r>
        <w:rPr>
          <w:rFonts w:ascii="Times New Roman" w:hAnsi="Times New Roman"/>
          <w:b w:val="false"/>
          <w:i w:val="false"/>
          <w:color w:val="000000"/>
          <w:sz w:val="21"/>
        </w:rPr>
        <w:t>[Filed ARC 7698C</w:t>
      </w:r>
      <w:r>
        <w:rPr>
          <w:rFonts w:ascii="Times New Roman" w:hAnsi="Times New Roman"/>
          <w:b w:val="false"/>
          <w:i w:val="false"/>
          <w:color w:val="000000"/>
          <w:sz w:val="21"/>
        </w:rPr>
        <w:t xml:space="preserve"> (Notice ARC 7065C, IAB 8/23/23)</w:t>
      </w:r>
      <w:r>
        <w:rPr>
          <w:rFonts w:ascii="Times New Roman" w:hAnsi="Times New Roman"/>
          <w:b w:val="false"/>
          <w:i w:val="false"/>
          <w:color w:val="000000"/>
          <w:sz w:val="21"/>
        </w:rPr>
        <w:t>, IAB 3/6/24, effective 7/1/24]</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0344D</w:t>
      </w:r>
      <w:r>
        <w:rPr>
          <w:rFonts w:ascii="Times New Roman" w:hAnsi="Times New Roman"/>
          <w:b w:val="false"/>
          <w:i w:val="false"/>
          <w:color w:val="000000"/>
          <w:sz w:val="21"/>
        </w:rPr>
        <w:t xml:space="preserve"> (Notice ARC 0195D, IAB 4/15/26)</w:t>
      </w:r>
      <w:r>
        <w:rPr>
          <w:rFonts w:ascii="Times New Roman" w:hAnsi="Times New Roman"/>
          <w:b w:val="false"/>
          <w:i w:val="false"/>
          <w:color w:val="000000"/>
          <w:sz w:val="21"/>
        </w:rPr>
        <w:t>, IAB 6/10/26, effective 8/1/26]</w:t>
      </w:r>
    </w:p>
    <w:p>
      <w:pPr>
        <w:spacing w:before="0" w:after="0"/>
        <w:ind w:left="120"/>
        <w:jc w:val="both"/>
      </w:pPr>
      <w:r>
        <w:rPr>
          <w:rFonts w:ascii="Times New Roman" w:hAnsi="Times New Roman"/>
          <w:b w:val="false"/>
          <w:i w:val="false"/>
          <w:color w:val="000000"/>
          <w:sz w:val="22"/>
        </w:rPr>
        <w:t xml:space="preserve">The effective date of </w:t>
      </w:r>
      <w:r>
        <w:rPr>
          <w:rFonts w:ascii="Times New Roman" w:hAnsi="Times New Roman"/>
          <w:b/>
          <w:i w:val="false"/>
          <w:color w:val="000000"/>
          <w:sz w:val="22"/>
        </w:rPr>
        <w:t>ARC 7698C</w:t>
      </w:r>
      <w:r>
        <w:rPr>
          <w:rFonts w:ascii="Times New Roman" w:hAnsi="Times New Roman"/>
          <w:b w:val="false"/>
          <w:i w:val="false"/>
          <w:color w:val="000000"/>
          <w:sz w:val="22"/>
        </w:rPr>
        <w:t xml:space="preserve"> was corrected to July 1, 2024, in the April 3, 2024, Iowa Administrative Bulletin.</w:t>
      </w:r>
    </w:p>
    <w:p>
      <w:pPr>
        <w:spacing w:before="0" w:after="0"/>
        <w:ind w:left="120"/>
        <w:jc w:val="both"/>
      </w:pPr>
    </w:p>
    <w:sectPr>
      <w:footerReference r:id="rId4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24.pdf" Type="http://schemas.openxmlformats.org/officeDocument/2006/relationships/hyperlink" Id="rId5"/>
    <Relationship TargetMode="External" Target="https://www.legis.iowa.gov/docs/ico/chapter/232.2.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237.15.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co/chapter/237.16.pdf" Type="http://schemas.openxmlformats.org/officeDocument/2006/relationships/hyperlink" Id="rId10"/>
    <Relationship TargetMode="External" Target="https://www.legis.iowa.gov/docs/ico/chapter/17A.3.pdf" Type="http://schemas.openxmlformats.org/officeDocument/2006/relationships/hyperlink" Id="rId11"/>
    <Relationship TargetMode="External" Target="https://www.legis.iowa.gov/docs/ico/chapter/237.15.pdf" Type="http://schemas.openxmlformats.org/officeDocument/2006/relationships/hyperlink" Id="rId12"/>
    <Relationship TargetMode="External" Target="https://www.legis.iowa.gov/docs/ico/chapter/237.16.pdf" Type="http://schemas.openxmlformats.org/officeDocument/2006/relationships/hyperlink" Id="rId13"/>
    <Relationship TargetMode="External" Target="https://www.legis.iowa.gov/docs/ico/chapter/237.16.pdf" Type="http://schemas.openxmlformats.org/officeDocument/2006/relationships/hyperlink" Id="rId14"/>
    <Relationship TargetMode="External" Target="https://www.legis.iowa.gov/docs/ico/chapter/237.16.pdf" Type="http://schemas.openxmlformats.org/officeDocument/2006/relationships/hyperlink" Id="rId15"/>
    <Relationship TargetMode="External" Target="https://www.legis.iowa.gov/docs/ico/chapter/21.pdf" Type="http://schemas.openxmlformats.org/officeDocument/2006/relationships/hyperlink" Id="rId16"/>
    <Relationship TargetMode="External" Target="https://www.legis.iowa.gov/docs/ico/chapter/21.4.pdf" Type="http://schemas.openxmlformats.org/officeDocument/2006/relationships/hyperlink" Id="rId17"/>
    <Relationship TargetMode="External" Target="https://www.legis.iowa.gov/docs/ico/chapter/21.8.pdf" Type="http://schemas.openxmlformats.org/officeDocument/2006/relationships/hyperlink" Id="rId18"/>
    <Relationship TargetMode="External" Target="https://www.legis.iowa.gov/docs/ico/chapter/17A.3.pdf" Type="http://schemas.openxmlformats.org/officeDocument/2006/relationships/hyperlink" Id="rId19"/>
    <Relationship TargetMode="External" Target="https://www.legis.iowa.gov/docs/ico/chapter/237.16.pdf" Type="http://schemas.openxmlformats.org/officeDocument/2006/relationships/hyperlink" Id="rId20"/>
    <Relationship TargetMode="External" Target="https://www.legis.iowa.gov/docs/ico/chapter/237.18.pdf" Type="http://schemas.openxmlformats.org/officeDocument/2006/relationships/hyperlink" Id="rId21"/>
    <Relationship TargetMode="External" Target="https://www.legis.iowa.gov/docs/ico/chapter/17A.3.pdf" Type="http://schemas.openxmlformats.org/officeDocument/2006/relationships/hyperlink" Id="rId22"/>
    <Relationship TargetMode="External" Target="https://www.legis.iowa.gov/docs/ico/chapter/237.18.pdf" Type="http://schemas.openxmlformats.org/officeDocument/2006/relationships/hyperlink" Id="rId23"/>
    <Relationship TargetMode="External" Target="https://www.legis.iowa.gov/docs/ico/chapter/237.17.pdf" Type="http://schemas.openxmlformats.org/officeDocument/2006/relationships/hyperlink" Id="rId24"/>
    <Relationship TargetMode="External" Target="https://www.legis.iowa.gov/docs/ico/chapter/17A.3.pdf" Type="http://schemas.openxmlformats.org/officeDocument/2006/relationships/hyperlink" Id="rId25"/>
    <Relationship TargetMode="External" Target="https://www.legis.iowa.gov/docs/ico/chapter/237.17.pdf" Type="http://schemas.openxmlformats.org/officeDocument/2006/relationships/hyperlink" Id="rId26"/>
    <Relationship TargetMode="External" Target="https://www.legis.iowa.gov/docs/ico/chapter/237.21.pdf" Type="http://schemas.openxmlformats.org/officeDocument/2006/relationships/hyperlink" Id="rId27"/>
    <Relationship TargetMode="External" Target="https://www.legis.iowa.gov/docs/ico/chapter/17A.3.pdf" Type="http://schemas.openxmlformats.org/officeDocument/2006/relationships/hyperlink" Id="rId28"/>
    <Relationship TargetMode="External" Target="https://www.legis.iowa.gov/docs/ico/chapter/237.21.pdf" Type="http://schemas.openxmlformats.org/officeDocument/2006/relationships/hyperlink" Id="rId29"/>
    <Relationship TargetMode="External" Target="https://www.legis.iowa.gov/docs/ico/chapter/237.18.pdf" Type="http://schemas.openxmlformats.org/officeDocument/2006/relationships/hyperlink" Id="rId30"/>
    <Relationship TargetMode="External" Target="https://www.legis.iowa.gov/docs/ico/chapter/17A.3.pdf" Type="http://schemas.openxmlformats.org/officeDocument/2006/relationships/hyperlink" Id="rId31"/>
    <Relationship TargetMode="External" Target="https://www.legis.iowa.gov/docs/ico/chapter/237.19.pdf" Type="http://schemas.openxmlformats.org/officeDocument/2006/relationships/hyperlink" Id="rId32"/>
    <Relationship TargetMode="External" Target="https://www.legis.iowa.gov/docs/ico/chapter/237.19.pdf" Type="http://schemas.openxmlformats.org/officeDocument/2006/relationships/hyperlink" Id="rId33"/>
    <Relationship TargetMode="External" Target="https://www.legis.iowa.gov/docs/ico/chapter/17A.3.pdf" Type="http://schemas.openxmlformats.org/officeDocument/2006/relationships/hyperlink" Id="rId34"/>
    <Relationship TargetMode="External" Target="https://www.legis.iowa.gov/docs/ico/chapter/237.18.pdf" Type="http://schemas.openxmlformats.org/officeDocument/2006/relationships/hyperlink" Id="rId35"/>
    <Relationship TargetMode="External" Target="https://www.legis.iowa.gov/docs/ico/chapter/237.18.pdf" Type="http://schemas.openxmlformats.org/officeDocument/2006/relationships/hyperlink" Id="rId36"/>
    <Relationship TargetMode="External" Target="https://www.legis.iowa.gov/docs/ico/chapter/237.18.pdf" Type="http://schemas.openxmlformats.org/officeDocument/2006/relationships/hyperlink" Id="rId37"/>
    <Relationship TargetMode="External" Target="https://www.legis.iowa.gov/docs/ico/chapter/237.18.pdf" Type="http://schemas.openxmlformats.org/officeDocument/2006/relationships/hyperlink" Id="rId38"/>
    <Relationship TargetMode="External" Target="https://www.legis.iowa.gov/docs/ico/chapter/17A.3.pdf" Type="http://schemas.openxmlformats.org/officeDocument/2006/relationships/hyperlink" Id="rId39"/>
    <Relationship TargetMode="External" Target="https://www.legis.iowa.gov/docs/ico/chapter/237.18.pdf" Type="http://schemas.openxmlformats.org/officeDocument/2006/relationships/hyperlink" Id="rId40"/>
    <Relationship TargetMode="External" Target="https://www.legis.iowa.gov/docs/ico/chapter/17A.3.pdf" Type="http://schemas.openxmlformats.org/officeDocument/2006/relationships/hyperlink" Id="rId41"/>
    <Relationship TargetMode="External" Target="https://www.legis.iowa.gov/docs/ico/chapter/237.18.pdf" Type="http://schemas.openxmlformats.org/officeDocument/2006/relationships/hyperlink" Id="rId42"/>
    <Relationship TargetMode="External" Target="https://www.legis.iowa.gov/docs/ico/chapter/17A.3.pdf" Type="http://schemas.openxmlformats.org/officeDocument/2006/relationships/hyperlink" Id="rId43"/>
    <Relationship TargetMode="External" Target="https://www.legis.iowa.gov/docs/ico/chapter/237.18.pdf" Type="http://schemas.openxmlformats.org/officeDocument/2006/relationships/hyperlink" Id="rId44"/>
    <Relationship Target="footer.xml" Type="http://schemas.openxmlformats.org/officeDocument/2006/relationships/footer" Id="rId4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