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982</w:t>
      </w:r>
    </w:p>
    <w:p>
      <w:pPr>
        <w:spacing w:before="0" w:after="0"/>
        <w:ind w:left="120"/>
        <w:jc w:val="center"/>
      </w:pPr>
      <w:r>
        <w:rPr>
          <w:rFonts w:ascii="Times New Roman" w:hAnsi="Times New Roman"/>
          <w:b w:val="false"/>
          <w:i w:val="false"/>
          <w:color w:val="000000"/>
          <w:sz w:val="21"/>
        </w:rPr>
        <w:t>DISCIPLINE FOR NURSING HOME ADMINISTRATORS</w:t>
      </w:r>
    </w:p>
    <w:p>
      <w:pPr>
        <w:spacing w:before="0" w:after="0"/>
        <w:ind w:left="120"/>
        <w:jc w:val="center"/>
      </w:pPr>
      <w:r>
        <w:rPr>
          <w:rFonts w:ascii="Times New Roman" w:hAnsi="Times New Roman"/>
          <w:b w:val="false"/>
          <w:i w:val="false"/>
          <w:color w:val="000000"/>
          <w:sz w:val="20"/>
        </w:rPr>
        <w:t>[Prior to 5/30/01, see 645—Chapter 141]</w:t>
      </w:r>
    </w:p>
    <w:p>
      <w:pPr>
        <w:spacing w:before="0" w:after="0"/>
        <w:ind w:left="120"/>
        <w:jc w:val="center"/>
      </w:pPr>
      <w:r>
        <w:rPr>
          <w:rFonts w:ascii="Times New Roman" w:hAnsi="Times New Roman"/>
          <w:b w:val="false"/>
          <w:i w:val="false"/>
          <w:color w:val="000000"/>
          <w:sz w:val="20"/>
        </w:rPr>
        <w:t>[Prior to 9/18/24, see Professional Licensure Division[645] Ch 144]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481—982.1</w:t>
      </w:r>
      <w:r>
        <w:rPr>
          <w:rFonts w:ascii="Times New Roman" w:hAnsi="Times New Roman"/>
          <w:b/>
          <w:i w:val="false"/>
          <w:color w:val="000000"/>
          <w:sz w:val="22"/>
        </w:rPr>
        <w:t xml:space="preserve">(155,272C)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982.1(1)</w:t>
      </w:r>
      <w:r>
        <w:rPr>
          <w:rFonts w:ascii="Times New Roman" w:hAnsi="Times New Roman"/>
          <w:b w:val="false"/>
          <w:i w:val="false"/>
          <w:color w:val="000000"/>
          <w:sz w:val="22"/>
        </w:rPr>
        <w:t> </w:t>
      </w:r>
      <w:r>
        <w:rPr>
          <w:rFonts w:ascii="Times New Roman" w:hAnsi="Times New Roman"/>
          <w:b w:val="false"/>
          <w:i w:val="false"/>
          <w:color w:val="000000"/>
          <w:sz w:val="22"/>
        </w:rPr>
        <w:t>Any falsification or misrepresentation contained in any report or document attesting to the facts, conditions and activities of the internship or work experience and submitted by the applicant, administrator/preceptor or other participants may be grounds for denial of license or for suspension or revocation of the nursing home administrator license in addition to the imposition of fines and any other penalties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982.1(2)</w:t>
      </w:r>
      <w:r>
        <w:rPr>
          <w:rFonts w:ascii="Times New Roman" w:hAnsi="Times New Roman"/>
          <w:b w:val="false"/>
          <w:i w:val="false"/>
          <w:color w:val="000000"/>
          <w:sz w:val="22"/>
        </w:rPr>
        <w:t> </w:t>
      </w:r>
      <w:r>
        <w:rPr>
          <w:rFonts w:ascii="Times New Roman" w:hAnsi="Times New Roman"/>
          <w:b w:val="false"/>
          <w:i w:val="false"/>
          <w:color w:val="000000"/>
          <w:sz w:val="22"/>
        </w:rPr>
        <w:t>Any misappropriation of resident funds or facility funds may be grounds for denial of license or for suspension or revocation of the nursing home administrator license in addition to the imposition of fines and any other penalties provided by law.</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5/11/01, Notice 3/21/01—published 5/30/01, effective 7/4/01]</w:t>
      </w:r>
    </w:p>
    <w:p>
      <w:pPr>
        <w:spacing w:before="0" w:after="0"/>
        <w:ind w:left="120"/>
        <w:jc w:val="center"/>
      </w:pPr>
      <w:r>
        <w:rPr>
          <w:rFonts w:ascii="Times New Roman" w:hAnsi="Times New Roman"/>
          <w:b w:val="false"/>
          <w:i w:val="false"/>
          <w:color w:val="000000"/>
          <w:sz w:val="21"/>
        </w:rPr>
        <w:t>[Filed 4/1/04, Notice 2/4/04—published 4/28/04, effective 6/2/04]</w:t>
      </w:r>
    </w:p>
    <w:p>
      <w:pPr>
        <w:spacing w:before="0" w:after="0"/>
        <w:ind w:left="120"/>
        <w:jc w:val="center"/>
      </w:pPr>
      <w:r>
        <w:rPr>
          <w:rFonts w:ascii="Times New Roman" w:hAnsi="Times New Roman"/>
          <w:b w:val="false"/>
          <w:i w:val="false"/>
          <w:color w:val="000000"/>
          <w:sz w:val="21"/>
        </w:rPr>
        <w:t>[Filed 7/21/05, Notice 4/27/05—published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4/7/06, Notice 2/15/06—published 4/26/06, effective 5/31/06]</w:t>
      </w:r>
    </w:p>
    <w:p>
      <w:pPr>
        <w:spacing w:before="0" w:after="0"/>
        <w:ind w:left="120"/>
        <w:jc w:val="center"/>
      </w:pPr>
      <w:r>
        <w:rPr>
          <w:rFonts w:ascii="Times New Roman" w:hAnsi="Times New Roman"/>
          <w:b w:val="false"/>
          <w:i w:val="false"/>
          <w:color w:val="000000"/>
          <w:sz w:val="21"/>
        </w:rPr>
        <w:t>[Filed ARC 7576B</w:t>
      </w:r>
      <w:r>
        <w:rPr>
          <w:rFonts w:ascii="Times New Roman" w:hAnsi="Times New Roman"/>
          <w:b w:val="false"/>
          <w:i w:val="false"/>
          <w:color w:val="000000"/>
          <w:sz w:val="21"/>
        </w:rPr>
        <w:t xml:space="preserve"> (Notice ARC 7285B,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0024C</w:t>
      </w:r>
      <w:r>
        <w:rPr>
          <w:rFonts w:ascii="Times New Roman" w:hAnsi="Times New Roman"/>
          <w:b w:val="false"/>
          <w:i w:val="false"/>
          <w:color w:val="000000"/>
          <w:sz w:val="21"/>
        </w:rPr>
        <w:t xml:space="preserve"> (Notice ARC 9801B,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0797C</w:t>
      </w:r>
      <w:r>
        <w:rPr>
          <w:rFonts w:ascii="Times New Roman" w:hAnsi="Times New Roman"/>
          <w:b w:val="false"/>
          <w:i w:val="false"/>
          <w:color w:val="000000"/>
          <w:sz w:val="21"/>
        </w:rPr>
        <w:t xml:space="preserve"> (Notice ARC 0651C, IAB 3/20/13)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5775C</w:t>
      </w:r>
      <w:r>
        <w:rPr>
          <w:rFonts w:ascii="Times New Roman" w:hAnsi="Times New Roman"/>
          <w:b w:val="false"/>
          <w:i w:val="false"/>
          <w:color w:val="000000"/>
          <w:sz w:val="21"/>
        </w:rPr>
        <w:t xml:space="preserve"> (Notice ARC 5453C,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7973C</w:t>
      </w:r>
      <w:r>
        <w:rPr>
          <w:rFonts w:ascii="Times New Roman" w:hAnsi="Times New Roman"/>
          <w:b w:val="false"/>
          <w:i w:val="false"/>
          <w:color w:val="000000"/>
          <w:sz w:val="21"/>
        </w:rPr>
        <w:t xml:space="preserve"> (Notice ARC 7478C,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28, 2012, effective date of 144.2(13) delayed 70 days by the Administrative Rules Review Committee at its meeting held March 12, 2012.</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5.pdf" Type="http://schemas.openxmlformats.org/officeDocument/2006/relationships/hyperlink" Id="rId8"/>
    <Relationship TargetMode="External" Target="https://www.legis.iowa.gov/docs/ico/chapter/272C.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