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981</w:t>
      </w:r>
    </w:p>
    <w:p>
      <w:pPr>
        <w:spacing w:before="0" w:after="0"/>
        <w:ind w:left="120"/>
        <w:jc w:val="center"/>
      </w:pPr>
      <w:r>
        <w:rPr>
          <w:rFonts w:ascii="Times New Roman" w:hAnsi="Times New Roman"/>
          <w:b w:val="false"/>
          <w:i w:val="false"/>
          <w:color w:val="000000"/>
          <w:sz w:val="21"/>
        </w:rPr>
        <w:t>CONTINUING EDUCATION FOR NURSING HOME ADMINISTRATION</w:t>
      </w:r>
    </w:p>
    <w:p>
      <w:pPr>
        <w:spacing w:before="0" w:after="0"/>
        <w:ind w:left="120"/>
        <w:jc w:val="center"/>
      </w:pPr>
      <w:r>
        <w:rPr>
          <w:rFonts w:ascii="Times New Roman" w:hAnsi="Times New Roman"/>
          <w:b w:val="false"/>
          <w:i w:val="false"/>
          <w:color w:val="000000"/>
          <w:sz w:val="20"/>
        </w:rPr>
        <w:t>[Prior to 8/24/88, see Nursing Home Administrators Board of Examiners [600], Ch 3]</w:t>
      </w:r>
    </w:p>
    <w:p>
      <w:pPr>
        <w:spacing w:before="0" w:after="0"/>
        <w:ind w:left="120"/>
        <w:jc w:val="center"/>
      </w:pPr>
      <w:r>
        <w:rPr>
          <w:rFonts w:ascii="Times New Roman" w:hAnsi="Times New Roman"/>
          <w:b w:val="false"/>
          <w:i w:val="false"/>
          <w:color w:val="000000"/>
          <w:sz w:val="20"/>
        </w:rPr>
        <w:t>[Prior to 9/13/95, see 645—Chapter 142]</w:t>
      </w:r>
    </w:p>
    <w:p>
      <w:pPr>
        <w:spacing w:before="0" w:after="0"/>
        <w:ind w:left="120"/>
        <w:jc w:val="center"/>
      </w:pPr>
      <w:r>
        <w:rPr>
          <w:rFonts w:ascii="Times New Roman" w:hAnsi="Times New Roman"/>
          <w:b w:val="false"/>
          <w:i w:val="false"/>
          <w:color w:val="000000"/>
          <w:sz w:val="20"/>
        </w:rPr>
        <w:t>[Prior to 9/18/24, see Professional Licensure Division[645] Ch 143]</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6/19/29</w:t>
      </w:r>
    </w:p>
    <w:p>
      <w:pPr>
        <w:spacing w:before="0" w:after="0"/>
        <w:ind w:left="120"/>
        <w:jc w:val="both"/>
      </w:pPr>
      <w:r>
        <w:rPr>
          <w:rFonts w:ascii="Times New Roman" w:hAnsi="Times New Roman"/>
          <w:b/>
          <w:i w:val="false"/>
          <w:color w:val="000000"/>
          <w:sz w:val="22"/>
        </w:rPr>
        <w:t>481—981.1</w:t>
      </w:r>
      <w:r>
        <w:rPr>
          <w:rFonts w:ascii="Times New Roman" w:hAnsi="Times New Roman"/>
          <w:b/>
          <w:i w:val="false"/>
          <w:color w:val="000000"/>
          <w:sz w:val="22"/>
        </w:rPr>
        <w:t xml:space="preserve">(272C) </w:t>
      </w:r>
      <w:r>
        <w:rPr>
          <w:rFonts w:ascii="Times New Roman" w:hAnsi="Times New Roman"/>
          <w:b/>
          <w:i w:val="false"/>
          <w:color w:val="000000"/>
          <w:sz w:val="22"/>
        </w:rPr>
        <w:t xml:space="preserve">Definitions. </w:t>
      </w:r>
      <w:r>
        <w:rPr>
          <w:rFonts w:ascii="Times New Roman" w:hAnsi="Times New Roman"/>
          <w:b w:val="false"/>
          <w:i w:val="false"/>
          <w:color w:val="000000"/>
          <w:sz w:val="22"/>
        </w:rPr>
        <w:t>For the purpose of these rules, the following definitions will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“Active license”</w:t>
      </w:r>
      <w:r>
        <w:rPr>
          <w:rFonts w:ascii="Times New Roman" w:hAnsi="Times New Roman"/>
          <w:b w:val="false"/>
          <w:i w:val="false"/>
          <w:color w:val="000000"/>
          <w:sz w:val="22"/>
        </w:rPr>
        <w:t> </w:t>
      </w:r>
      <w:r>
        <w:rPr>
          <w:rFonts w:ascii="Times New Roman" w:hAnsi="Times New Roman"/>
          <w:b w:val="false"/>
          <w:i w:val="false"/>
          <w:color w:val="000000"/>
          <w:sz w:val="22"/>
        </w:rPr>
        <w:t>means the license is current and has not expired.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“Approved program/activity”</w:t>
      </w:r>
      <w:r>
        <w:rPr>
          <w:rFonts w:ascii="Times New Roman" w:hAnsi="Times New Roman"/>
          <w:b w:val="false"/>
          <w:i w:val="false"/>
          <w:color w:val="000000"/>
          <w:sz w:val="22"/>
        </w:rPr>
        <w:t> </w:t>
      </w:r>
      <w:r>
        <w:rPr>
          <w:rFonts w:ascii="Times New Roman" w:hAnsi="Times New Roman"/>
          <w:b w:val="false"/>
          <w:i w:val="false"/>
          <w:color w:val="000000"/>
          <w:sz w:val="22"/>
        </w:rPr>
        <w:t>means a continuing education program/activity meeting the standards set forth in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“Audit”</w:t>
      </w:r>
      <w:r>
        <w:rPr>
          <w:rFonts w:ascii="Times New Roman" w:hAnsi="Times New Roman"/>
          <w:b w:val="false"/>
          <w:i w:val="false"/>
          <w:color w:val="000000"/>
          <w:sz w:val="22"/>
        </w:rPr>
        <w:t> </w:t>
      </w:r>
      <w:r>
        <w:rPr>
          <w:rFonts w:ascii="Times New Roman" w:hAnsi="Times New Roman"/>
          <w:b w:val="false"/>
          <w:i w:val="false"/>
          <w:color w:val="000000"/>
          <w:sz w:val="22"/>
        </w:rPr>
        <w:t>means the selection of licensees for verification of satisfactory completion of continuing education requirements during a specified time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“Continuing education”</w:t>
      </w:r>
      <w:r>
        <w:rPr>
          <w:rFonts w:ascii="Times New Roman" w:hAnsi="Times New Roman"/>
          <w:b w:val="false"/>
          <w:i w:val="false"/>
          <w:color w:val="000000"/>
          <w:sz w:val="22"/>
        </w:rPr>
        <w:t> </w:t>
      </w:r>
      <w:r>
        <w:rPr>
          <w:rFonts w:ascii="Times New Roman" w:hAnsi="Times New Roman"/>
          <w:b w:val="false"/>
          <w:i w:val="false"/>
          <w:color w:val="000000"/>
          <w:sz w:val="22"/>
        </w:rPr>
        <w:t>means planned, organized learning acts designed to maintain, improve, or expand a licensee’s knowledge and skills in order for the licensee to develop new knowledge and skills relevant to the enhancement of practice, education, or theory development to improve the safety and welfare of the public.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“Hour of continuing education”</w:t>
      </w:r>
      <w:r>
        <w:rPr>
          <w:rFonts w:ascii="Times New Roman" w:hAnsi="Times New Roman"/>
          <w:b w:val="false"/>
          <w:i w:val="false"/>
          <w:color w:val="000000"/>
          <w:sz w:val="22"/>
        </w:rPr>
        <w:t> </w:t>
      </w:r>
      <w:r>
        <w:rPr>
          <w:rFonts w:ascii="Times New Roman" w:hAnsi="Times New Roman"/>
          <w:b w:val="false"/>
          <w:i w:val="false"/>
          <w:color w:val="000000"/>
          <w:sz w:val="22"/>
        </w:rPr>
        <w:t>means at least 50 minutes spent by a licensee in actual attendance at and completion of an approved continuing education activity.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“Inactive license”</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 license that has expired because it was not renewed by the end of the grace period.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“Independent study”</w:t>
      </w:r>
      <w:r>
        <w:rPr>
          <w:rFonts w:ascii="Times New Roman" w:hAnsi="Times New Roman"/>
          <w:b w:val="false"/>
          <w:i w:val="false"/>
          <w:color w:val="000000"/>
          <w:sz w:val="22"/>
        </w:rPr>
        <w:t> </w:t>
      </w:r>
      <w:r>
        <w:rPr>
          <w:rFonts w:ascii="Times New Roman" w:hAnsi="Times New Roman"/>
          <w:b w:val="false"/>
          <w:i w:val="false"/>
          <w:color w:val="000000"/>
          <w:sz w:val="22"/>
        </w:rPr>
        <w:t>means a subject/program/activity that a person pursues autonomously that meets standards for approval criteria in the rules and includes a posttest.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“License”</w:t>
      </w:r>
      <w:r>
        <w:rPr>
          <w:rFonts w:ascii="Times New Roman" w:hAnsi="Times New Roman"/>
          <w:b w:val="false"/>
          <w:i w:val="false"/>
          <w:color w:val="000000"/>
          <w:sz w:val="22"/>
        </w:rPr>
        <w:t> </w:t>
      </w:r>
      <w:r>
        <w:rPr>
          <w:rFonts w:ascii="Times New Roman" w:hAnsi="Times New Roman"/>
          <w:b w:val="false"/>
          <w:i w:val="false"/>
          <w:color w:val="000000"/>
          <w:sz w:val="22"/>
        </w:rPr>
        <w:t>means license to practice.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“Licensee”</w:t>
      </w:r>
      <w:r>
        <w:rPr>
          <w:rFonts w:ascii="Times New Roman" w:hAnsi="Times New Roman"/>
          <w:b w:val="false"/>
          <w:i w:val="false"/>
          <w:color w:val="000000"/>
          <w:sz w:val="22"/>
        </w:rPr>
        <w:t> </w:t>
      </w:r>
      <w:r>
        <w:rPr>
          <w:rFonts w:ascii="Times New Roman" w:hAnsi="Times New Roman"/>
          <w:b w:val="false"/>
          <w:i w:val="false"/>
          <w:color w:val="000000"/>
          <w:sz w:val="22"/>
        </w:rPr>
        <w:t>means any person licensed to practice as a nursing home administrator in the state of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“National Continuing Education Review Service (NCERS)”</w:t>
      </w:r>
      <w:r>
        <w:rPr>
          <w:rFonts w:ascii="Times New Roman" w:hAnsi="Times New Roman"/>
          <w:b w:val="false"/>
          <w:i w:val="false"/>
          <w:color w:val="000000"/>
          <w:sz w:val="22"/>
        </w:rPr>
        <w:t> </w:t>
      </w:r>
      <w:r>
        <w:rPr>
          <w:rFonts w:ascii="Times New Roman" w:hAnsi="Times New Roman"/>
          <w:b w:val="false"/>
          <w:i w:val="false"/>
          <w:color w:val="000000"/>
          <w:sz w:val="22"/>
        </w:rPr>
        <w:t>means the continuing education review service operated by the National Association of Boards of Examiners for Nursing Home Administrators.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7972C</w:t>
      </w:r>
      <w:r>
        <w:rPr>
          <w:rFonts w:ascii="Times New Roman" w:hAnsi="Times New Roman"/>
          <w:b w:val="false"/>
          <w:i w:val="false"/>
          <w:color w:val="000000"/>
          <w:sz w:val="16"/>
        </w:rPr>
        <w:t>, IAB 5/15/24, effective 6/19/24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481—981.2</w:t>
      </w:r>
      <w:r>
        <w:rPr>
          <w:rFonts w:ascii="Times New Roman" w:hAnsi="Times New Roman"/>
          <w:b/>
          <w:i w:val="false"/>
          <w:color w:val="000000"/>
          <w:sz w:val="22"/>
        </w:rPr>
        <w:t xml:space="preserve">(272C) </w:t>
      </w:r>
      <w:r>
        <w:rPr>
          <w:rFonts w:ascii="Times New Roman" w:hAnsi="Times New Roman"/>
          <w:b/>
          <w:i w:val="false"/>
          <w:color w:val="000000"/>
          <w:sz w:val="22"/>
        </w:rPr>
        <w:t xml:space="preserve">Continuing education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981.2(1)</w:t>
      </w:r>
      <w:r>
        <w:rPr>
          <w:rFonts w:ascii="Times New Roman" w:hAnsi="Times New Roman"/>
          <w:b w:val="false"/>
          <w:i w:val="false"/>
          <w:color w:val="000000"/>
          <w:sz w:val="22"/>
        </w:rPr>
        <w:t> </w:t>
      </w:r>
      <w:r>
        <w:rPr>
          <w:rFonts w:ascii="Times New Roman" w:hAnsi="Times New Roman"/>
          <w:b w:val="false"/>
          <w:i w:val="false"/>
          <w:color w:val="000000"/>
          <w:sz w:val="22"/>
        </w:rPr>
        <w:t>The biennial continuing education compliance period will extend for a two-year period beginning on January 1 of each even-numbered year and ending on December 31 of the next odd-numbered year. Each biennium, each person who is licensed to practice as a licensee in this state will be required to complete a minimum of 40 hours of continuing education. Licensees who complete continuing education hours in excess of the requirements for renewal may apply up to 50 percent of the required hours to the following renewal period. Licensees may apply a maximum of 20 hours from the previous renewal period.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981.2(2)</w:t>
      </w:r>
      <w:r>
        <w:rPr>
          <w:rFonts w:ascii="Times New Roman" w:hAnsi="Times New Roman"/>
          <w:b w:val="false"/>
          <w:i w:val="false"/>
          <w:color w:val="000000"/>
          <w:sz w:val="22"/>
        </w:rPr>
        <w:t> </w:t>
      </w:r>
      <w:r>
        <w:rPr>
          <w:rFonts w:ascii="Times New Roman" w:hAnsi="Times New Roman"/>
          <w:b w:val="false"/>
          <w:i w:val="false"/>
          <w:color w:val="000000"/>
          <w:sz w:val="22"/>
        </w:rPr>
        <w:t xml:space="preserve">Requirements of new licensees. Those persons licensed for the first time will not be required to complete continuing education as a prerequisite for the first renewal of their licenses. Continuing education hours acquired anytime from the initial licensing until the second license renewal may be used.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981.2(3)</w:t>
      </w:r>
      <w:r>
        <w:rPr>
          <w:rFonts w:ascii="Times New Roman" w:hAnsi="Times New Roman"/>
          <w:b w:val="false"/>
          <w:i w:val="false"/>
          <w:color w:val="000000"/>
          <w:sz w:val="22"/>
        </w:rPr>
        <w:t> </w:t>
      </w:r>
      <w:r>
        <w:rPr>
          <w:rFonts w:ascii="Times New Roman" w:hAnsi="Times New Roman"/>
          <w:b w:val="false"/>
          <w:i w:val="false"/>
          <w:color w:val="000000"/>
          <w:sz w:val="22"/>
        </w:rPr>
        <w:t xml:space="preserve">Hours of continuing education credit may be obtained by attending and participating in a continuing education activity.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981.2(4)</w:t>
      </w:r>
      <w:r>
        <w:rPr>
          <w:rFonts w:ascii="Times New Roman" w:hAnsi="Times New Roman"/>
          <w:b w:val="false"/>
          <w:i w:val="false"/>
          <w:color w:val="000000"/>
          <w:sz w:val="22"/>
        </w:rPr>
        <w:t> </w:t>
      </w:r>
      <w:r>
        <w:rPr>
          <w:rFonts w:ascii="Times New Roman" w:hAnsi="Times New Roman"/>
          <w:b w:val="false"/>
          <w:i w:val="false"/>
          <w:color w:val="000000"/>
          <w:sz w:val="22"/>
        </w:rPr>
        <w:t>The licensee is responsible for the cost of continuing education.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7972C</w:t>
      </w:r>
      <w:r>
        <w:rPr>
          <w:rFonts w:ascii="Times New Roman" w:hAnsi="Times New Roman"/>
          <w:b w:val="false"/>
          <w:i w:val="false"/>
          <w:color w:val="000000"/>
          <w:sz w:val="16"/>
        </w:rPr>
        <w:t>, IAB 5/15/24, effective 6/19/24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 xml:space="preserve">; </w:t>
      </w:r>
      <w:r>
        <w:rPr>
          <w:rFonts w:ascii="Times New Roman" w:hAnsi="Times New Roman"/>
          <w:b/>
          <w:i w:val="false"/>
          <w:color w:val="000000"/>
          <w:sz w:val="16"/>
        </w:rPr>
        <w:t>ARC 9284C</w:t>
      </w:r>
      <w:r>
        <w:rPr>
          <w:rFonts w:ascii="Times New Roman" w:hAnsi="Times New Roman"/>
          <w:b w:val="false"/>
          <w:i w:val="false"/>
          <w:color w:val="000000"/>
          <w:sz w:val="16"/>
        </w:rPr>
        <w:t>, IAB 5/14/25, effective 6/18/25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481—981.3</w:t>
      </w:r>
      <w:r>
        <w:rPr>
          <w:rFonts w:ascii="Times New Roman" w:hAnsi="Times New Roman"/>
          <w:b/>
          <w:i w:val="false"/>
          <w:color w:val="000000"/>
          <w:sz w:val="22"/>
        </w:rPr>
        <w:t xml:space="preserve">(155,272C) </w:t>
      </w:r>
      <w:r>
        <w:rPr>
          <w:rFonts w:ascii="Times New Roman" w:hAnsi="Times New Roman"/>
          <w:b/>
          <w:i w:val="false"/>
          <w:color w:val="000000"/>
          <w:sz w:val="22"/>
        </w:rPr>
        <w:t xml:space="preserve">Standards.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981.3(1)</w:t>
      </w:r>
      <w:r>
        <w:rPr>
          <w:rFonts w:ascii="Times New Roman" w:hAnsi="Times New Roman"/>
          <w:b w:val="false"/>
          <w:i w:val="false"/>
          <w:color w:val="000000"/>
          <w:sz w:val="22"/>
        </w:rPr>
        <w:t> </w:t>
      </w:r>
      <w:r>
        <w:rPr>
          <w:rFonts w:ascii="Times New Roman" w:hAnsi="Times New Roman"/>
          <w:b w:val="false"/>
          <w:i/>
          <w:color w:val="000000"/>
          <w:sz w:val="22"/>
        </w:rPr>
        <w:t xml:space="preserve">General criteria. </w:t>
      </w:r>
      <w:r>
        <w:rPr>
          <w:rFonts w:ascii="Times New Roman" w:hAnsi="Times New Roman"/>
          <w:b w:val="false"/>
          <w:i w:val="false"/>
          <w:color w:val="000000"/>
          <w:sz w:val="22"/>
        </w:rPr>
        <w:t>A continuing education activity that meets all of the following criteria is appropriate for continuing education credit if the continuing education activity: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Is an organized program of learning fundamental to the practice of the profession that contributes directly to the professional competency of the licensee;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Is conducted by individuals who have specialized education, training and experience in the subject matter of the program;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Fulfills stated program goals, objectives, or both;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Provides proof of attendance including: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Date(s), location, course title, presenter(s);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Number of program contact hours;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Certificate of completion or evidence of successful completion of the course provided by the course sponsor.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981.3(2)</w:t>
      </w:r>
      <w:r>
        <w:rPr>
          <w:rFonts w:ascii="Times New Roman" w:hAnsi="Times New Roman"/>
          <w:b w:val="false"/>
          <w:i w:val="false"/>
          <w:color w:val="000000"/>
          <w:sz w:val="22"/>
        </w:rPr>
        <w:t> </w:t>
      </w:r>
      <w:r>
        <w:rPr>
          <w:rFonts w:ascii="Times New Roman" w:hAnsi="Times New Roman"/>
          <w:b w:val="false"/>
          <w:i/>
          <w:color w:val="000000"/>
          <w:sz w:val="22"/>
        </w:rPr>
        <w:t xml:space="preserve">Specific criteria. </w:t>
      </w:r>
      <w:r>
        <w:rPr>
          <w:rFonts w:ascii="Times New Roman" w:hAnsi="Times New Roman"/>
          <w:b w:val="false"/>
          <w:i w:val="false"/>
          <w:color w:val="000000"/>
          <w:sz w:val="22"/>
        </w:rPr>
        <w:t>Licensees may obtain continuing education hours of credit by: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Participating in the continuing education programs approved by the National Continuing Education Review Service (NCERS).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Academic coursework that meets the criteria set forth in these rules. Continuing education credit equivalents are as follows:</w:t>
      </w:r>
    </w:p>
    <w:p>
      <w:pPr>
        <w:spacing w:before="0" w:after="0"/>
        <w:ind w:left="120"/>
        <w:jc w:val="both"/>
      </w:pPr>
      <w:r>
        <w:rPr>
          <w:rFonts w:ascii="Times New Roman" w:hAnsi="Times New Roman"/>
          <w:b w:val="false"/>
          <w:i w:val="false"/>
          <w:color w:val="000000"/>
          <w:sz w:val="22"/>
        </w:rPr>
        <w:t xml:space="preserve">1 academic semester hour = 15 continuing education hours </w:t>
      </w:r>
    </w:p>
    <w:p>
      <w:pPr>
        <w:spacing w:before="0" w:after="0"/>
        <w:ind w:left="120"/>
        <w:jc w:val="both"/>
      </w:pPr>
      <w:r>
        <w:rPr>
          <w:rFonts w:ascii="Times New Roman" w:hAnsi="Times New Roman"/>
          <w:b w:val="false"/>
          <w:i w:val="false"/>
          <w:color w:val="000000"/>
          <w:sz w:val="22"/>
        </w:rPr>
        <w:t>1 academic quarter hour = 10 continuing education hours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Attendance at or participation in a program or course that meets the requirements in subrule </w:t>
      </w:r>
      <w:r>
        <w:rPr>
          <w:rFonts w:ascii="Times New Roman" w:hAnsi="Times New Roman"/>
          <w:b w:val="false"/>
          <w:i w:val="false"/>
          <w:color w:val="000000"/>
          <w:sz w:val="22"/>
        </w:rPr>
        <w:t>981.3(1)</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Making presentations; conducting research; producing publications; preparing new courses; participating in home study courses; attending electronically transmitted courses; and attending workshops, conferences, or symposiums.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Self-study coursework that meets the criteria set forth in these rules. Continuing education credit equivalent for self-study is as follows:</w:t>
      </w:r>
    </w:p>
    <w:p>
      <w:pPr>
        <w:spacing w:before="0" w:after="0"/>
        <w:ind w:left="120"/>
        <w:jc w:val="both"/>
      </w:pPr>
      <w:r>
        <w:rPr>
          <w:rFonts w:ascii="Times New Roman" w:hAnsi="Times New Roman"/>
          <w:b w:val="false"/>
          <w:i w:val="false"/>
          <w:color w:val="000000"/>
          <w:sz w:val="22"/>
        </w:rPr>
        <w:t>180 minutes of self-study work = 1 continuing education hour</w:t>
      </w:r>
    </w:p>
    <w:p>
      <w:pPr>
        <w:spacing w:before="0" w:after="0"/>
        <w:ind w:left="120"/>
        <w:jc w:val="both"/>
      </w:pPr>
      <w:r>
        <w:rPr>
          <w:rFonts w:ascii="Times New Roman" w:hAnsi="Times New Roman"/>
          <w:b w:val="false"/>
          <w:i w:val="false"/>
          <w:color w:val="000000"/>
          <w:sz w:val="22"/>
        </w:rPr>
        <w:t>The maximum number of hours for self-study, including television viewing, video or sound-recorded programs, correspondence work, or research, or by other similar means that is not directly sponsored by and supervised by an accredited postsecondary college or university or NCERS, is eight hours.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7972C</w:t>
      </w:r>
      <w:r>
        <w:rPr>
          <w:rFonts w:ascii="Times New Roman" w:hAnsi="Times New Roman"/>
          <w:b w:val="false"/>
          <w:i w:val="false"/>
          <w:color w:val="000000"/>
          <w:sz w:val="16"/>
        </w:rPr>
        <w:t>, IAB 5/15/24, effective 6/19/24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481—981.4</w:t>
      </w:r>
      <w:r>
        <w:rPr>
          <w:rFonts w:ascii="Times New Roman" w:hAnsi="Times New Roman"/>
          <w:b/>
          <w:i w:val="false"/>
          <w:color w:val="000000"/>
          <w:sz w:val="22"/>
        </w:rPr>
        <w:t xml:space="preserve">(155,272C) </w:t>
      </w:r>
      <w:r>
        <w:rPr>
          <w:rFonts w:ascii="Times New Roman" w:hAnsi="Times New Roman"/>
          <w:b/>
          <w:i w:val="false"/>
          <w:color w:val="000000"/>
          <w:sz w:val="22"/>
        </w:rPr>
        <w:t xml:space="preserve">Exemptions. </w:t>
      </w:r>
      <w:r>
        <w:rPr>
          <w:rFonts w:ascii="Times New Roman" w:hAnsi="Times New Roman"/>
          <w:b w:val="false"/>
          <w:i w:val="false"/>
          <w:color w:val="000000"/>
          <w:sz w:val="22"/>
        </w:rPr>
        <w:t>A licensee is exempt from the continuing education requirement when that person:</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 xml:space="preserve">Served honorably on active duty in the military service; </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 xml:space="preserve">Resided in another state with continuing education requirements that the applicant met; </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Was a government employee working in the licensee’s specialty and assigned to duty outside the United States; or</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Has a disability, illness, or primary caregiver status requiring an extension of time or exemption upon approval by the board office.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7972C</w:t>
      </w:r>
      <w:r>
        <w:rPr>
          <w:rFonts w:ascii="Times New Roman" w:hAnsi="Times New Roman"/>
          <w:b w:val="false"/>
          <w:i w:val="false"/>
          <w:color w:val="000000"/>
          <w:sz w:val="16"/>
        </w:rPr>
        <w:t>, IAB 5/15/24, effective 6/19/24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section </w:t>
      </w:r>
      <w:hyperlink r:id="rId5">
        <w:r>
          <w:rPr>
            <w:rStyle w:val="Hyperlink"/>
            <w:rFonts w:ascii="Times New Roman" w:hAnsi="Times New Roman"/>
            <w:b w:val="false"/>
            <w:i w:val="false"/>
            <w:color w:val="000000"/>
            <w:sz w:val="22"/>
          </w:rPr>
          <w:t>272C.2</w:t>
        </w:r>
      </w:hyperlink>
      <w:r>
        <w:rPr>
          <w:rFonts w:ascii="Times New Roman" w:hAnsi="Times New Roman"/>
          <w:b w:val="false"/>
          <w:i w:val="false"/>
          <w:color w:val="000000"/>
          <w:sz w:val="22"/>
        </w:rPr>
        <w:t xml:space="preserve"> and chapter </w:t>
      </w:r>
      <w:hyperlink r:id="rId6">
        <w:r>
          <w:rPr>
            <w:rStyle w:val="Hyperlink"/>
            <w:rFonts w:ascii="Times New Roman" w:hAnsi="Times New Roman"/>
            <w:b w:val="false"/>
            <w:i w:val="false"/>
            <w:color w:val="000000"/>
            <w:sz w:val="22"/>
          </w:rPr>
          <w:t>155</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8/28/78, Notice 3/8/78—published 9/20/78, effective 10/25/78]</w:t>
      </w:r>
    </w:p>
    <w:p>
      <w:pPr>
        <w:spacing w:before="0" w:after="0"/>
        <w:ind w:left="120"/>
        <w:jc w:val="center"/>
      </w:pPr>
      <w:r>
        <w:rPr>
          <w:rFonts w:ascii="Times New Roman" w:hAnsi="Times New Roman"/>
          <w:b w:val="false"/>
          <w:i w:val="false"/>
          <w:color w:val="000000"/>
          <w:sz w:val="21"/>
        </w:rPr>
        <w:t>[Filed 8/14/81, Notice 6/10/81—published 9/2/81, effective 10/7/81]</w:t>
      </w:r>
    </w:p>
    <w:p>
      <w:pPr>
        <w:spacing w:before="0" w:after="0"/>
        <w:ind w:left="120"/>
        <w:jc w:val="center"/>
      </w:pPr>
      <w:r>
        <w:rPr>
          <w:rFonts w:ascii="Times New Roman" w:hAnsi="Times New Roman"/>
          <w:b w:val="false"/>
          <w:i w:val="false"/>
          <w:color w:val="000000"/>
          <w:sz w:val="21"/>
        </w:rPr>
        <w:t>[Filed 4/20/84, Notice 1/18/84—published 5/9/84, effective 6/14/84]</w:t>
      </w:r>
    </w:p>
    <w:p>
      <w:pPr>
        <w:spacing w:before="0" w:after="0"/>
        <w:ind w:left="120"/>
        <w:jc w:val="center"/>
      </w:pPr>
      <w:r>
        <w:rPr>
          <w:rFonts w:ascii="Times New Roman" w:hAnsi="Times New Roman"/>
          <w:b w:val="false"/>
          <w:i w:val="false"/>
          <w:color w:val="000000"/>
          <w:sz w:val="21"/>
        </w:rPr>
        <w:t>[Filed 7/10/85, Notice 6/5/85—published 7/31/85, effective 9/4/85]</w:t>
      </w:r>
    </w:p>
    <w:p>
      <w:pPr>
        <w:spacing w:before="0" w:after="0"/>
        <w:ind w:left="120"/>
        <w:jc w:val="center"/>
      </w:pPr>
      <w:r>
        <w:rPr>
          <w:rFonts w:ascii="Times New Roman" w:hAnsi="Times New Roman"/>
          <w:b w:val="false"/>
          <w:i w:val="false"/>
          <w:color w:val="000000"/>
          <w:sz w:val="21"/>
        </w:rPr>
        <w:t>[Filed 10/15/85, Notice 5/8/85—published 11/6/85, effective 12/11/85]</w:t>
      </w:r>
    </w:p>
    <w:p>
      <w:pPr>
        <w:spacing w:before="0" w:after="0"/>
        <w:ind w:left="120"/>
        <w:jc w:val="center"/>
      </w:pPr>
      <w:r>
        <w:rPr>
          <w:rFonts w:ascii="Times New Roman" w:hAnsi="Times New Roman"/>
          <w:b w:val="false"/>
          <w:i w:val="false"/>
          <w:color w:val="000000"/>
          <w:sz w:val="21"/>
        </w:rPr>
        <w:t>[Filed 1/17/86, Notice 8/14/85—published 2/12/86, effective 3/21/86]</w:t>
      </w:r>
    </w:p>
    <w:p>
      <w:pPr>
        <w:spacing w:before="0" w:after="0"/>
        <w:ind w:left="120"/>
        <w:jc w:val="center"/>
      </w:pPr>
      <w:r>
        <w:rPr>
          <w:rFonts w:ascii="Times New Roman" w:hAnsi="Times New Roman"/>
          <w:b w:val="false"/>
          <w:i w:val="false"/>
          <w:color w:val="000000"/>
          <w:sz w:val="21"/>
        </w:rPr>
        <w:t>[Filed 8/5/88, Notice 3/23/88—published 8/24/88, effective 9/28/88]</w:t>
      </w:r>
    </w:p>
    <w:p>
      <w:pPr>
        <w:spacing w:before="0" w:after="0"/>
        <w:ind w:left="120"/>
        <w:jc w:val="center"/>
      </w:pPr>
      <w:r>
        <w:rPr>
          <w:rFonts w:ascii="Times New Roman" w:hAnsi="Times New Roman"/>
          <w:b w:val="false"/>
          <w:i w:val="false"/>
          <w:color w:val="000000"/>
          <w:sz w:val="21"/>
        </w:rPr>
        <w:t>[Filed 11/22/89, Notice 9/20/89—published 12/13/89, effective 1/17/90]</w:t>
      </w:r>
    </w:p>
    <w:p>
      <w:pPr>
        <w:spacing w:before="0" w:after="0"/>
        <w:ind w:left="120"/>
        <w:jc w:val="center"/>
      </w:pPr>
      <w:r>
        <w:rPr>
          <w:rFonts w:ascii="Times New Roman" w:hAnsi="Times New Roman"/>
          <w:b w:val="false"/>
          <w:i w:val="false"/>
          <w:color w:val="000000"/>
          <w:sz w:val="21"/>
        </w:rPr>
        <w:t>[Filed 7/20/90, Notice 4/4/90—published 8/8/90, effective 9/12/90]</w:t>
      </w:r>
    </w:p>
    <w:p>
      <w:pPr>
        <w:spacing w:before="0" w:after="0"/>
        <w:ind w:left="120"/>
        <w:jc w:val="center"/>
      </w:pPr>
      <w:r>
        <w:rPr>
          <w:rFonts w:ascii="Times New Roman" w:hAnsi="Times New Roman"/>
          <w:b w:val="false"/>
          <w:i w:val="false"/>
          <w:color w:val="000000"/>
          <w:sz w:val="21"/>
        </w:rPr>
        <w:t>[Filed 8/25/95, Notice 3/15/95—published 9/13/95, effective 10/18/95]</w:t>
      </w:r>
    </w:p>
    <w:p>
      <w:pPr>
        <w:spacing w:before="0" w:after="0"/>
        <w:ind w:left="120"/>
        <w:jc w:val="center"/>
      </w:pPr>
      <w:r>
        <w:rPr>
          <w:rFonts w:ascii="Times New Roman" w:hAnsi="Times New Roman"/>
          <w:b w:val="false"/>
          <w:i w:val="false"/>
          <w:color w:val="000000"/>
          <w:sz w:val="21"/>
        </w:rPr>
        <w:t>[Filed 10/29/99, Notice 9/8/99—published 11/17/99, effective 12/22/99]</w:t>
      </w:r>
    </w:p>
    <w:p>
      <w:pPr>
        <w:spacing w:before="0" w:after="0"/>
        <w:ind w:left="120"/>
        <w:jc w:val="center"/>
      </w:pPr>
      <w:r>
        <w:rPr>
          <w:rFonts w:ascii="Times New Roman" w:hAnsi="Times New Roman"/>
          <w:b w:val="false"/>
          <w:i w:val="false"/>
          <w:color w:val="000000"/>
          <w:sz w:val="21"/>
        </w:rPr>
        <w:t>[Filed 9/29/00, Notice 7/26/00—published 10/18/00, effective 11/22/00]</w:t>
      </w:r>
    </w:p>
    <w:p>
      <w:pPr>
        <w:spacing w:before="0" w:after="0"/>
        <w:ind w:left="120"/>
        <w:jc w:val="center"/>
      </w:pPr>
      <w:r>
        <w:rPr>
          <w:rFonts w:ascii="Times New Roman" w:hAnsi="Times New Roman"/>
          <w:b w:val="false"/>
          <w:i w:val="false"/>
          <w:color w:val="000000"/>
          <w:sz w:val="21"/>
        </w:rPr>
        <w:t>[Filed 5/11/01, Notice 3/21/01—published 5/30/01, effective 7/4/01]</w:t>
      </w:r>
    </w:p>
    <w:p>
      <w:pPr>
        <w:spacing w:before="0" w:after="0"/>
        <w:ind w:left="120"/>
        <w:jc w:val="center"/>
      </w:pPr>
      <w:r>
        <w:rPr>
          <w:rFonts w:ascii="Times New Roman" w:hAnsi="Times New Roman"/>
          <w:b w:val="false"/>
          <w:i w:val="false"/>
          <w:color w:val="000000"/>
          <w:sz w:val="21"/>
        </w:rPr>
        <w:t>[Filed 7/21/05, Notice 4/27/05—published 8/17/05, effective 9/21/05]</w:t>
      </w:r>
    </w:p>
    <w:p>
      <w:pPr>
        <w:spacing w:before="0" w:after="0"/>
        <w:ind w:left="120"/>
        <w:jc w:val="center"/>
      </w:pPr>
      <w:r>
        <w:rPr>
          <w:rFonts w:ascii="Times New Roman" w:hAnsi="Times New Roman"/>
          <w:b w:val="false"/>
          <w:i w:val="false"/>
          <w:color w:val="000000"/>
          <w:sz w:val="21"/>
        </w:rPr>
        <w:t>[Filed ARC 7576B</w:t>
      </w:r>
      <w:r>
        <w:rPr>
          <w:rFonts w:ascii="Times New Roman" w:hAnsi="Times New Roman"/>
          <w:b w:val="false"/>
          <w:i w:val="false"/>
          <w:color w:val="000000"/>
          <w:sz w:val="21"/>
        </w:rPr>
        <w:t xml:space="preserve"> (Notice ARC 7285B, IAB 10/22/08)</w:t>
      </w:r>
      <w:r>
        <w:rPr>
          <w:rFonts w:ascii="Times New Roman" w:hAnsi="Times New Roman"/>
          <w:b w:val="false"/>
          <w:i w:val="false"/>
          <w:color w:val="000000"/>
          <w:sz w:val="21"/>
        </w:rPr>
        <w:t>, IAB 2/11/09, effective 3/18/09]</w:t>
      </w:r>
    </w:p>
    <w:p>
      <w:pPr>
        <w:spacing w:before="0" w:after="0"/>
        <w:ind w:left="120"/>
        <w:jc w:val="center"/>
      </w:pPr>
      <w:r>
        <w:rPr>
          <w:rFonts w:ascii="Times New Roman" w:hAnsi="Times New Roman"/>
          <w:b w:val="false"/>
          <w:i w:val="false"/>
          <w:color w:val="000000"/>
          <w:sz w:val="21"/>
        </w:rPr>
        <w:t>[Filed ARC 7972C</w:t>
      </w:r>
      <w:r>
        <w:rPr>
          <w:rFonts w:ascii="Times New Roman" w:hAnsi="Times New Roman"/>
          <w:b w:val="false"/>
          <w:i w:val="false"/>
          <w:color w:val="000000"/>
          <w:sz w:val="21"/>
        </w:rPr>
        <w:t xml:space="preserve"> (Notice ARC 7477C, IAB 1/10/24)</w:t>
      </w:r>
      <w:r>
        <w:rPr>
          <w:rFonts w:ascii="Times New Roman" w:hAnsi="Times New Roman"/>
          <w:b w:val="false"/>
          <w:i w:val="false"/>
          <w:color w:val="000000"/>
          <w:sz w:val="21"/>
        </w:rPr>
        <w:t>, IAB 5/15/24, effective 6/19/24]</w:t>
      </w:r>
    </w:p>
    <w:p>
      <w:pPr>
        <w:spacing w:before="0" w:after="0"/>
        <w:ind w:left="120"/>
        <w:jc w:val="center"/>
      </w:pPr>
      <w:r>
        <w:rPr>
          <w:rFonts w:ascii="Times New Roman" w:hAnsi="Times New Roman"/>
          <w:b w:val="false"/>
          <w:i w:val="false"/>
          <w:color w:val="000000"/>
          <w:sz w:val="21"/>
        </w:rPr>
        <w:t>[Editorial change: IAC Supplement 9/18/24]</w:t>
      </w:r>
    </w:p>
    <w:p>
      <w:pPr>
        <w:spacing w:before="0" w:after="0"/>
        <w:ind w:left="120"/>
        <w:jc w:val="center"/>
      </w:pPr>
      <w:r>
        <w:rPr>
          <w:rFonts w:ascii="Times New Roman" w:hAnsi="Times New Roman"/>
          <w:b w:val="false"/>
          <w:i w:val="false"/>
          <w:color w:val="000000"/>
          <w:sz w:val="21"/>
        </w:rPr>
        <w:t>[Filed ARC 9284C</w:t>
      </w:r>
      <w:r>
        <w:rPr>
          <w:rFonts w:ascii="Times New Roman" w:hAnsi="Times New Roman"/>
          <w:b w:val="false"/>
          <w:i w:val="false"/>
          <w:color w:val="000000"/>
          <w:sz w:val="21"/>
        </w:rPr>
        <w:t xml:space="preserve"> (Notice ARC 8949C, IAB 2/19/25)</w:t>
      </w:r>
      <w:r>
        <w:rPr>
          <w:rFonts w:ascii="Times New Roman" w:hAnsi="Times New Roman"/>
          <w:b w:val="false"/>
          <w:i w:val="false"/>
          <w:color w:val="000000"/>
          <w:sz w:val="21"/>
        </w:rPr>
        <w:t>, IAB 5/14/25, effective 6/18/25]</w:t>
      </w:r>
    </w:p>
    <w:sectPr>
      <w:footerReference r:id="rId7"/>
      <w:pgSz w:w="11907" w:h="16839" w:code="9"/>
      <w:pgMar w:top="1440" w:right="1440" w:bottom="1440" w:left="1440"/>
    </w:sectPr>
  </w:body>
</w:document>
</file>

<file path=word/footer.xml><?xml version="1.0" encoding="utf-8"?>
<w:ftr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272C.2.pdf" Type="http://schemas.openxmlformats.org/officeDocument/2006/relationships/hyperlink" Id="rId5"/>
    <Relationship TargetMode="External" Target="https://www.legis.iowa.gov/docs/ico/chapter/155.pdf" Type="http://schemas.openxmlformats.org/officeDocument/2006/relationships/hyperlink" Id="rId6"/>
    <Relationship Target="footer.xml" Type="http://schemas.openxmlformats.org/officeDocument/2006/relationships/footer" Id="rId7"/>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