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965</w:t>
      </w:r>
    </w:p>
    <w:p>
      <w:pPr>
        <w:spacing w:before="0" w:after="0"/>
        <w:ind w:left="120"/>
        <w:jc w:val="center"/>
      </w:pPr>
      <w:r>
        <w:rPr>
          <w:rFonts w:ascii="Times New Roman" w:hAnsi="Times New Roman"/>
          <w:b w:val="false"/>
          <w:i w:val="false"/>
          <w:color w:val="000000"/>
          <w:sz w:val="21"/>
        </w:rPr>
        <w:t xml:space="preserve">LICENSURE OF EMPLOYERS FOR SIGN LANGUAGE </w:t>
      </w:r>
      <w:r>
        <w:br/>
      </w:r>
      <w:r>
        <w:rPr>
          <w:rFonts w:ascii="Times New Roman" w:hAnsi="Times New Roman"/>
          <w:b w:val="false"/>
          <w:i w:val="false"/>
          <w:color w:val="000000"/>
          <w:sz w:val="21"/>
        </w:rPr>
        <w:t>INTERPRETERS AND TRANSLITERATORS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7/2/30</w:t>
      </w:r>
    </w:p>
    <w:p>
      <w:pPr>
        <w:spacing w:before="0" w:after="0"/>
        <w:ind w:left="120"/>
        <w:jc w:val="both"/>
      </w:pPr>
      <w:r>
        <w:rPr>
          <w:rFonts w:ascii="Times New Roman" w:hAnsi="Times New Roman"/>
          <w:b/>
          <w:i w:val="false"/>
          <w:color w:val="000000"/>
          <w:sz w:val="22"/>
        </w:rPr>
        <w:t>481—965.1</w:t>
      </w:r>
      <w:r>
        <w:rPr>
          <w:rFonts w:ascii="Times New Roman" w:hAnsi="Times New Roman"/>
          <w:b/>
          <w:i w:val="false"/>
          <w:color w:val="000000"/>
          <w:sz w:val="22"/>
        </w:rPr>
        <w:t xml:space="preserve">(154E) </w:t>
      </w:r>
      <w:r>
        <w:rPr>
          <w:rFonts w:ascii="Times New Roman" w:hAnsi="Times New Roman"/>
          <w:b/>
          <w:i w:val="false"/>
          <w:color w:val="000000"/>
          <w:sz w:val="22"/>
        </w:rPr>
        <w:t xml:space="preserve">Definition. </w:t>
      </w:r>
      <w:r>
        <w:rPr>
          <w:rFonts w:ascii="Times New Roman" w:hAnsi="Times New Roman"/>
          <w:b w:val="false"/>
          <w:i w:val="false"/>
          <w:color w:val="000000"/>
          <w:sz w:val="22"/>
        </w:rPr>
        <w:t>For the purpose of these rules, the following definition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“Employer”</w:t>
      </w:r>
      <w:r>
        <w:rPr>
          <w:rFonts w:ascii="Times New Roman" w:hAnsi="Times New Roman"/>
          <w:b w:val="false"/>
          <w:i w:val="false"/>
          <w:color w:val="000000"/>
          <w:sz w:val="22"/>
        </w:rPr>
        <w:t> </w:t>
      </w:r>
      <w:r>
        <w:rPr>
          <w:rFonts w:ascii="Times New Roman" w:hAnsi="Times New Roman"/>
          <w:b w:val="false"/>
          <w:i w:val="false"/>
          <w:color w:val="000000"/>
          <w:sz w:val="22"/>
        </w:rPr>
        <w:t>means an employer that employs a person to provide interpreting or transliterating services to the employer’s employees.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9318C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481—965.2</w:t>
      </w:r>
      <w:r>
        <w:rPr>
          <w:rFonts w:ascii="Times New Roman" w:hAnsi="Times New Roman"/>
          <w:b/>
          <w:i w:val="false"/>
          <w:color w:val="000000"/>
          <w:sz w:val="22"/>
        </w:rPr>
        <w:t xml:space="preserve">(154E) </w:t>
      </w:r>
      <w:r>
        <w:rPr>
          <w:rFonts w:ascii="Times New Roman" w:hAnsi="Times New Roman"/>
          <w:b/>
          <w:i w:val="false"/>
          <w:color w:val="000000"/>
          <w:sz w:val="22"/>
        </w:rPr>
        <w:t xml:space="preserve">Requirements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965.2(1)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employed by an employer licensed pursuant to this chapter to provide interpreting or transliterating services to the employer’s employees is not required to be licensed pursuant to this chapter, but shall meet the requirements for licensure under Iowa Code section </w:t>
      </w:r>
      <w:hyperlink r:id="rId5">
        <w:r>
          <w:rPr>
            <w:rStyle w:val="Hyperlink"/>
            <w:rFonts w:ascii="Times New Roman" w:hAnsi="Times New Roman"/>
            <w:b w:val="false"/>
            <w:i w:val="false"/>
            <w:color w:val="000000"/>
            <w:sz w:val="22"/>
          </w:rPr>
          <w:t>154E.3</w:t>
        </w:r>
      </w:hyperlink>
      <w:r>
        <w:rPr>
          <w:rFonts w:ascii="Times New Roman" w:hAnsi="Times New Roman"/>
          <w:b w:val="false"/>
          <w:i w:val="false"/>
          <w:color w:val="000000"/>
          <w:sz w:val="22"/>
        </w:rPr>
        <w:t>. The interpreter will not interpret or transliterate prior to providing evidence of meeting licensure requirements to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965.2(2)</w:t>
      </w:r>
      <w:r>
        <w:rPr>
          <w:rFonts w:ascii="Times New Roman" w:hAnsi="Times New Roman"/>
          <w:b w:val="false"/>
          <w:i w:val="false"/>
          <w:color w:val="000000"/>
          <w:sz w:val="22"/>
        </w:rPr>
        <w:t> </w:t>
      </w:r>
      <w:r>
        <w:rPr>
          <w:rFonts w:ascii="Times New Roman" w:hAnsi="Times New Roman"/>
          <w:b w:val="false"/>
          <w:i w:val="false"/>
          <w:color w:val="000000"/>
          <w:sz w:val="22"/>
        </w:rPr>
        <w:t>The following criteria apply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Employers will submit a completed online licensure application and pay the nonrefundable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Employers will submit the following information pertaining to their employed interpreters or transliterators: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First and last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passing one of the examinations or proof of certification as outlined in </w:t>
      </w:r>
      <w:hyperlink r:id="rId6">
        <w:r>
          <w:rPr>
            <w:rStyle w:val="Hyperlink"/>
            <w:rFonts w:ascii="Times New Roman" w:hAnsi="Times New Roman"/>
            <w:b w:val="false"/>
            <w:i w:val="false"/>
            <w:color w:val="000000"/>
            <w:sz w:val="22"/>
          </w:rPr>
          <w:t>481—paragraph 961.2(1)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Employers will submit required information for new interpreters or transliterators to the board office within 30 days of hire.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Consumers will be provided information to file a complaint with the department of inspections, appeals, and licensing to address any concerns with sign language interpretation or transliteration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9318C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481—965.3</w:t>
      </w:r>
      <w:r>
        <w:rPr>
          <w:rFonts w:ascii="Times New Roman" w:hAnsi="Times New Roman"/>
          <w:b/>
          <w:i w:val="false"/>
          <w:color w:val="000000"/>
          <w:sz w:val="22"/>
        </w:rPr>
        <w:t xml:space="preserve">(154E)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965.3(1)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will begin on July 1 of an odd-numbered year and end on June 30 of the next odd-numbered year. The licensee is responsible for renewing the license prior to its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965.3(2)</w:t>
      </w:r>
      <w:r>
        <w:rPr>
          <w:rFonts w:ascii="Times New Roman" w:hAnsi="Times New Roman"/>
          <w:b w:val="false"/>
          <w:i w:val="false"/>
          <w:color w:val="000000"/>
          <w:sz w:val="22"/>
        </w:rPr>
        <w:t> </w:t>
      </w:r>
      <w:r>
        <w:rPr>
          <w:rFonts w:ascii="Times New Roman" w:hAnsi="Times New Roman"/>
          <w:b w:val="false"/>
          <w:i w:val="false"/>
          <w:color w:val="000000"/>
          <w:sz w:val="22"/>
        </w:rPr>
        <w:t>A licensee who was issued a license within six months of the license renewal date will not be required to renew the license until the subsequent renewal date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965.3(3)</w:t>
      </w:r>
      <w:r>
        <w:rPr>
          <w:rFonts w:ascii="Times New Roman" w:hAnsi="Times New Roman"/>
          <w:b w:val="false"/>
          <w:i w:val="false"/>
          <w:color w:val="000000"/>
          <w:sz w:val="22"/>
        </w:rPr>
        <w:t> </w:t>
      </w:r>
      <w:r>
        <w:rPr>
          <w:rFonts w:ascii="Times New Roman" w:hAnsi="Times New Roman"/>
          <w:b w:val="false"/>
          <w:i w:val="false"/>
          <w:color w:val="000000"/>
          <w:sz w:val="22"/>
        </w:rPr>
        <w:t>A licensee applying for renewal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attestation that the licensee’s employees providing interpreting or transliterating services meet the continuing education requirements as provided in </w:t>
      </w:r>
      <w:hyperlink r:id="rId7">
        <w:r>
          <w:rPr>
            <w:rStyle w:val="Hyperlink"/>
            <w:rFonts w:ascii="Times New Roman" w:hAnsi="Times New Roman"/>
            <w:b w:val="false"/>
            <w:i w:val="false"/>
            <w:color w:val="000000"/>
            <w:sz w:val="22"/>
          </w:rPr>
          <w:t>481—Chapter 962</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965.3(4)</w:t>
      </w:r>
      <w:r>
        <w:rPr>
          <w:rFonts w:ascii="Times New Roman" w:hAnsi="Times New Roman"/>
          <w:b w:val="false"/>
          <w:i w:val="false"/>
          <w:color w:val="000000"/>
          <w:sz w:val="22"/>
        </w:rPr>
        <w:t> </w:t>
      </w:r>
      <w:r>
        <w:rPr>
          <w:rFonts w:ascii="Times New Roman" w:hAnsi="Times New Roman"/>
          <w:b w:val="false"/>
          <w:i w:val="false"/>
          <w:color w:val="000000"/>
          <w:sz w:val="22"/>
        </w:rPr>
        <w:t>A two-year license will be issued after the requirements of this rule are met. In the event the board receives adverse information on the renewal application, the board will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965.3(5)</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will become late when the license has not been renewed by the expiration date on the renewal. The licensee will be assessed a late fee as specified in </w:t>
      </w:r>
      <w:hyperlink r:id="rId8">
        <w:r>
          <w:rPr>
            <w:rStyle w:val="Hyperlink"/>
            <w:rFonts w:ascii="Times New Roman" w:hAnsi="Times New Roman"/>
            <w:b w:val="false"/>
            <w:i w:val="false"/>
            <w:color w:val="000000"/>
            <w:sz w:val="22"/>
          </w:rPr>
          <w:t>481—subrule 507.18(4)</w:t>
        </w:r>
      </w:hyperlink>
      <w:r>
        <w:rPr>
          <w:rFonts w:ascii="Times New Roman" w:hAnsi="Times New Roman"/>
          <w:b w:val="false"/>
          <w:i w:val="false"/>
          <w:color w:val="000000"/>
          <w:sz w:val="22"/>
        </w:rPr>
        <w:t>. To renew a late license, the licensee will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965.3(6)</w:t>
      </w:r>
      <w:r>
        <w:rPr>
          <w:rFonts w:ascii="Times New Roman" w:hAnsi="Times New Roman"/>
          <w:b w:val="false"/>
          <w:i w:val="false"/>
          <w:color w:val="000000"/>
          <w:sz w:val="22"/>
        </w:rPr>
        <w:t> </w:t>
      </w:r>
      <w:r>
        <w:rPr>
          <w:rFonts w:ascii="Times New Roman" w:hAnsi="Times New Roman"/>
          <w:b w:val="false"/>
          <w:i w:val="false"/>
          <w:color w:val="000000"/>
          <w:sz w:val="22"/>
        </w:rPr>
        <w:t>Inactive license. A licensee whose license is inactive continues to hold the privilege of licensure in Iowa but cannot practice until the license is reactivated.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9318C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481—965.4</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needs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965.4(1)</w:t>
      </w:r>
      <w:r>
        <w:rPr>
          <w:rFonts w:ascii="Times New Roman" w:hAnsi="Times New Roman"/>
          <w:b w:val="false"/>
          <w:i w:val="false"/>
          <w:color w:val="000000"/>
          <w:sz w:val="22"/>
        </w:rPr>
        <w:t> </w:t>
      </w:r>
      <w:r>
        <w:rPr>
          <w:rFonts w:ascii="Times New Roman" w:hAnsi="Times New Roman"/>
          <w:b w:val="false"/>
          <w:i w:val="false"/>
          <w:color w:val="000000"/>
          <w:sz w:val="22"/>
        </w:rPr>
        <w:t>Submit a completed online licensure application and pay the nonrefundable fee,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965.4(2)</w:t>
      </w:r>
      <w:r>
        <w:rPr>
          <w:rFonts w:ascii="Times New Roman" w:hAnsi="Times New Roman"/>
          <w:b w:val="false"/>
          <w:i w:val="false"/>
          <w:color w:val="000000"/>
          <w:sz w:val="22"/>
        </w:rPr>
        <w:t> </w:t>
      </w:r>
      <w:r>
        <w:rPr>
          <w:rFonts w:ascii="Times New Roman" w:hAnsi="Times New Roman"/>
          <w:b w:val="false"/>
          <w:i w:val="false"/>
          <w:color w:val="000000"/>
          <w:sz w:val="22"/>
        </w:rPr>
        <w:t>Submit the following information pertaining to the licensee’s employed interpreters or transliterators: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First and last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Address and 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passing one of the examinations or proof of certification as outlined in </w:t>
      </w:r>
      <w:hyperlink r:id="rId9">
        <w:r>
          <w:rPr>
            <w:rStyle w:val="Hyperlink"/>
            <w:rFonts w:ascii="Times New Roman" w:hAnsi="Times New Roman"/>
            <w:b w:val="false"/>
            <w:i w:val="false"/>
            <w:color w:val="000000"/>
            <w:sz w:val="22"/>
          </w:rPr>
          <w:t>481—paragraph 961.2(1)</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9318C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481—965.5</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A licensee whose license has been revoked, suspended, or voluntarily surrendered must apply for and receive board-approved reinstatement of the license and must apply for and be granted reactivation of the license prior to employing sign language interpreters or transliterators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9318C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481—965.6</w:t>
      </w:r>
      <w:r>
        <w:rPr>
          <w:rFonts w:ascii="Times New Roman" w:hAnsi="Times New Roman"/>
          <w:b/>
          <w:i w:val="false"/>
          <w:color w:val="000000"/>
          <w:sz w:val="22"/>
        </w:rPr>
        <w:t xml:space="preserve">(154E,272C) </w:t>
      </w:r>
      <w:r>
        <w:rPr>
          <w:rFonts w:ascii="Times New Roman" w:hAnsi="Times New Roman"/>
          <w:b/>
          <w:i w:val="false"/>
          <w:color w:val="000000"/>
          <w:sz w:val="22"/>
        </w:rPr>
        <w:t xml:space="preserve">License discipline. </w:t>
      </w:r>
      <w:r>
        <w:rPr>
          <w:rFonts w:ascii="Times New Roman" w:hAnsi="Times New Roman"/>
          <w:b w:val="false"/>
          <w:i w:val="false"/>
          <w:color w:val="000000"/>
          <w:sz w:val="22"/>
        </w:rPr>
        <w:t xml:space="preserve">The board may impose any of the disciplinary sanctions provided in Iowa Code section </w:t>
      </w:r>
      <w:hyperlink r:id="rId10">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when the board determines that the licensee is guilty of any of the acts or offenses listed in 481—Chapter </w:t>
      </w:r>
      <w:hyperlink r:id="rId11">
        <w:r>
          <w:rPr>
            <w:rStyle w:val="Hyperlink"/>
            <w:rFonts w:ascii="Times New Roman" w:hAnsi="Times New Roman"/>
            <w:b w:val="false"/>
            <w:i w:val="false"/>
            <w:color w:val="000000"/>
            <w:sz w:val="22"/>
          </w:rPr>
          <w:t>504</w:t>
        </w:r>
      </w:hyperlink>
      <w:r>
        <w:rPr>
          <w:rFonts w:ascii="Times New Roman" w:hAnsi="Times New Roman"/>
          <w:b w:val="false"/>
          <w:i w:val="false"/>
          <w:color w:val="000000"/>
          <w:sz w:val="22"/>
        </w:rPr>
        <w:t xml:space="preserve"> or 481—Chapter </w:t>
      </w:r>
      <w:hyperlink r:id="rId12">
        <w:r>
          <w:rPr>
            <w:rStyle w:val="Hyperlink"/>
            <w:rFonts w:ascii="Times New Roman" w:hAnsi="Times New Roman"/>
            <w:b w:val="false"/>
            <w:i w:val="false"/>
            <w:color w:val="000000"/>
            <w:sz w:val="22"/>
          </w:rPr>
          <w:t>963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9318C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3">
        <w:r>
          <w:rPr>
            <w:rStyle w:val="Hyperlink"/>
            <w:rFonts w:ascii="Times New Roman" w:hAnsi="Times New Roman"/>
            <w:b w:val="false"/>
            <w:i w:val="false"/>
            <w:color w:val="000000"/>
            <w:sz w:val="22"/>
          </w:rPr>
          <w:t>154E</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9318C</w:t>
      </w:r>
      <w:r>
        <w:rPr>
          <w:rFonts w:ascii="Times New Roman" w:hAnsi="Times New Roman"/>
          <w:b w:val="false"/>
          <w:i w:val="false"/>
          <w:color w:val="000000"/>
          <w:sz w:val="21"/>
        </w:rPr>
        <w:t xml:space="preserve"> (Notice ARC 8955C, IAB 2/19/25)</w:t>
      </w:r>
      <w:r>
        <w:rPr>
          <w:rFonts w:ascii="Times New Roman" w:hAnsi="Times New Roman"/>
          <w:b w:val="false"/>
          <w:i w:val="false"/>
          <w:color w:val="000000"/>
          <w:sz w:val="21"/>
        </w:rPr>
        <w:t>, IAB 5/28/25, effective 7/2/25]</w:t>
      </w:r>
    </w:p>
    <w:sectPr>
      <w:footerReference r:id="rId1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4E.3.pdf" Type="http://schemas.openxmlformats.org/officeDocument/2006/relationships/hyperlink" Id="rId5"/>
    <Relationship TargetMode="External" Target="https://www.legis.iowa.gov/docs/iac/rule/481.961.2.pdf" Type="http://schemas.openxmlformats.org/officeDocument/2006/relationships/hyperlink" Id="rId6"/>
    <Relationship TargetMode="External" Target="https://www.legis.iowa.gov/docs/iac/chapter/481.962.pdf" Type="http://schemas.openxmlformats.org/officeDocument/2006/relationships/hyperlink" Id="rId7"/>
    <Relationship TargetMode="External" Target="https://www.legis.iowa.gov/docs/iac/rule/481.507.18.pdf" Type="http://schemas.openxmlformats.org/officeDocument/2006/relationships/hyperlink" Id="rId8"/>
    <Relationship TargetMode="External" Target="https://www.legis.iowa.gov/docs/iac/rule/481.961.2.pdf" Type="http://schemas.openxmlformats.org/officeDocument/2006/relationships/hyperlink" Id="rId9"/>
    <Relationship TargetMode="External" Target="https://www.legis.iowa.gov/docs/ico/chapter/272C.3.pdf" Type="http://schemas.openxmlformats.org/officeDocument/2006/relationships/hyperlink" Id="rId10"/>
    <Relationship TargetMode="External" Target="https://www.legis.iowa.gov/docs/iac/chapter/481.504.pdf" Type="http://schemas.openxmlformats.org/officeDocument/2006/relationships/hyperlink" Id="rId11"/>
    <Relationship TargetMode="External" Target="https://www.legis.iowa.gov/docs/iac/chapter/481.963.pdf" Type="http://schemas.openxmlformats.org/officeDocument/2006/relationships/hyperlink" Id="rId12"/>
    <Relationship TargetMode="External" Target="https://www.legis.iowa.gov/docs/ico/chapter/154E.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