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941</w:t>
      </w:r>
    </w:p>
    <w:p>
      <w:pPr>
        <w:spacing w:before="0" w:after="0"/>
        <w:ind w:left="120"/>
        <w:jc w:val="center"/>
      </w:pPr>
      <w:r>
        <w:rPr>
          <w:rFonts w:ascii="Times New Roman" w:hAnsi="Times New Roman"/>
          <w:b w:val="false"/>
          <w:i w:val="false"/>
          <w:color w:val="000000"/>
          <w:sz w:val="21"/>
        </w:rPr>
        <w:t>LICENSURE OF ESTABLISHMENTS AND SCHOOLS OF BARBERING AND COSMETOLOGY ARTS AND SCIENCES</w:t>
      </w:r>
    </w:p>
    <w:p>
      <w:pPr>
        <w:spacing w:before="0" w:after="0"/>
        <w:ind w:left="120"/>
        <w:jc w:val="center"/>
      </w:pPr>
      <w:r>
        <w:rPr>
          <w:rFonts w:ascii="Times New Roman" w:hAnsi="Times New Roman"/>
          <w:b w:val="false"/>
          <w:i w:val="false"/>
          <w:color w:val="000000"/>
          <w:sz w:val="20"/>
        </w:rPr>
        <w:t>[Prior to 7/29/87, Health Department[470] Chs 149, 150]</w:t>
      </w:r>
    </w:p>
    <w:p>
      <w:pPr>
        <w:spacing w:before="0" w:after="0"/>
        <w:ind w:left="120"/>
        <w:jc w:val="center"/>
      </w:pPr>
      <w:r>
        <w:rPr>
          <w:rFonts w:ascii="Times New Roman" w:hAnsi="Times New Roman"/>
          <w:b w:val="false"/>
          <w:i w:val="false"/>
          <w:color w:val="000000"/>
          <w:sz w:val="20"/>
        </w:rPr>
        <w:t>[Prior to 12/23/92, see 645—Chapter 60]</w:t>
      </w:r>
    </w:p>
    <w:p>
      <w:pPr>
        <w:spacing w:before="0" w:after="0"/>
        <w:ind w:left="120"/>
        <w:jc w:val="center"/>
      </w:pPr>
      <w:r>
        <w:rPr>
          <w:rFonts w:ascii="Times New Roman" w:hAnsi="Times New Roman"/>
          <w:b w:val="false"/>
          <w:i w:val="false"/>
          <w:color w:val="000000"/>
          <w:sz w:val="20"/>
        </w:rPr>
        <w:t>[Prior to 9/18/24, see Professional Licensure Division[645] Ch 61]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481—941.1</w:t>
      </w:r>
      <w:r>
        <w:rPr>
          <w:rFonts w:ascii="Times New Roman" w:hAnsi="Times New Roman"/>
          <w:b/>
          <w:i w:val="false"/>
          <w:color w:val="000000"/>
          <w:sz w:val="22"/>
        </w:rPr>
        <w:t xml:space="preserve">(157)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included in Iowa Code sections </w:t>
      </w:r>
      <w:hyperlink r:id="rId5">
        <w:r>
          <w:rPr>
            <w:rStyle w:val="Hyperlink"/>
            <w:rFonts w:ascii="Times New Roman" w:hAnsi="Times New Roman"/>
            <w:b w:val="false"/>
            <w:i w:val="false"/>
            <w:color w:val="000000"/>
            <w:sz w:val="22"/>
          </w:rPr>
          <w:t>157.1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84D.2</w:t>
        </w:r>
      </w:hyperlink>
      <w:r>
        <w:rPr>
          <w:rFonts w:ascii="Times New Roman" w:hAnsi="Times New Roman"/>
          <w:b w:val="false"/>
          <w:i w:val="false"/>
          <w:color w:val="000000"/>
          <w:sz w:val="22"/>
        </w:rPr>
        <w:t xml:space="preserve"> and 29 Code of Federal Regulations (CFR) §29.5 as amended on December 19, 2016, the following definitions apply to terms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“Change in ownership”</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 a new owner of a sole proprietorship; the addition, removal, or replacement of any co-owner(s) in a partnership; or a change of controlling interest in any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“Clinic area”</w:t>
      </w:r>
      <w:r>
        <w:rPr>
          <w:rFonts w:ascii="Times New Roman" w:hAnsi="Times New Roman"/>
          <w:b w:val="false"/>
          <w:i w:val="false"/>
          <w:color w:val="000000"/>
          <w:sz w:val="22"/>
        </w:rPr>
        <w:t> </w:t>
      </w:r>
      <w:r>
        <w:rPr>
          <w:rFonts w:ascii="Times New Roman" w:hAnsi="Times New Roman"/>
          <w:b w:val="false"/>
          <w:i w:val="false"/>
          <w:color w:val="000000"/>
          <w:sz w:val="22"/>
        </w:rPr>
        <w:t>means the area of the school where the paying customers will receive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“Dispensary”</w:t>
      </w:r>
      <w:r>
        <w:rPr>
          <w:rFonts w:ascii="Times New Roman" w:hAnsi="Times New Roman"/>
          <w:b w:val="false"/>
          <w:i w:val="false"/>
          <w:color w:val="000000"/>
          <w:sz w:val="22"/>
        </w:rPr>
        <w:t> </w:t>
      </w:r>
      <w:r>
        <w:rPr>
          <w:rFonts w:ascii="Times New Roman" w:hAnsi="Times New Roman"/>
          <w:b w:val="false"/>
          <w:i w:val="false"/>
          <w:color w:val="000000"/>
          <w:sz w:val="22"/>
        </w:rPr>
        <w:t>means a separate area to be used for storing and dispensing of supplies and sanitizing of all implements.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“Establishment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license issued to an Iowa establishment, as defined in Iowa Code section </w:t>
      </w:r>
      <w:hyperlink r:id="rId7">
        <w:r>
          <w:rPr>
            <w:rStyle w:val="Hyperlink"/>
            <w:rFonts w:ascii="Times New Roman" w:hAnsi="Times New Roman"/>
            <w:b w:val="false"/>
            <w:i w:val="false"/>
            <w:color w:val="000000"/>
            <w:sz w:val="22"/>
          </w:rPr>
          <w:t>157.1(10A)</w:t>
        </w:r>
      </w:hyperlink>
      <w:r>
        <w:rPr>
          <w:rFonts w:ascii="Times New Roman" w:hAnsi="Times New Roman"/>
          <w:b w:val="false"/>
          <w:i w:val="false"/>
          <w:color w:val="000000"/>
          <w:sz w:val="22"/>
        </w:rPr>
        <w:t>, to provide barbering and cosmetology arts and sciences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“Legacy curriculum”</w:t>
      </w:r>
      <w:r>
        <w:rPr>
          <w:rFonts w:ascii="Times New Roman" w:hAnsi="Times New Roman"/>
          <w:b w:val="false"/>
          <w:i w:val="false"/>
          <w:color w:val="000000"/>
          <w:sz w:val="22"/>
        </w:rPr>
        <w:t> </w:t>
      </w:r>
      <w:r>
        <w:rPr>
          <w:rFonts w:ascii="Times New Roman" w:hAnsi="Times New Roman"/>
          <w:b w:val="false"/>
          <w:i w:val="false"/>
          <w:color w:val="000000"/>
          <w:sz w:val="22"/>
        </w:rPr>
        <w:t>means a course of study and curriculum offered by barbering schools or cosmetology arts and sciences schools that, as applicable, comply with the administrative rules issued by the Iowa board of barbering or by the Iowa board of cosmetology arts and sciences that were in effect on June 30,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“Mentor”</w:t>
      </w:r>
      <w:r>
        <w:rPr>
          <w:rFonts w:ascii="Times New Roman" w:hAnsi="Times New Roman"/>
          <w:b w:val="false"/>
          <w:i w:val="false"/>
          <w:color w:val="000000"/>
          <w:sz w:val="22"/>
        </w:rPr>
        <w:t> </w:t>
      </w:r>
      <w:r>
        <w:rPr>
          <w:rFonts w:ascii="Times New Roman" w:hAnsi="Times New Roman"/>
          <w:b w:val="false"/>
          <w:i w:val="false"/>
          <w:color w:val="000000"/>
          <w:sz w:val="22"/>
        </w:rPr>
        <w:t>means a licensee providing guidance in a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“Mentoring”</w:t>
      </w:r>
      <w:r>
        <w:rPr>
          <w:rFonts w:ascii="Times New Roman" w:hAnsi="Times New Roman"/>
          <w:b w:val="false"/>
          <w:i w:val="false"/>
          <w:color w:val="000000"/>
          <w:sz w:val="22"/>
        </w:rPr>
        <w:t> </w:t>
      </w:r>
      <w:r>
        <w:rPr>
          <w:rFonts w:ascii="Times New Roman" w:hAnsi="Times New Roman"/>
          <w:b w:val="false"/>
          <w:i w:val="false"/>
          <w:color w:val="000000"/>
          <w:sz w:val="22"/>
        </w:rPr>
        <w:t>means a program allowing students in a school to experience barbering and cosmetology arts and sciences in a licensed establishment under the guidance of a mentor.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“On-the-job trainer”</w:t>
      </w:r>
      <w:r>
        <w:rPr>
          <w:rFonts w:ascii="Times New Roman" w:hAnsi="Times New Roman"/>
          <w:b w:val="false"/>
          <w:i w:val="false"/>
          <w:color w:val="000000"/>
          <w:sz w:val="22"/>
        </w:rPr>
        <w:t> </w:t>
      </w:r>
      <w:r>
        <w:rPr>
          <w:rFonts w:ascii="Times New Roman" w:hAnsi="Times New Roman"/>
          <w:b w:val="false"/>
          <w:i w:val="false"/>
          <w:color w:val="000000"/>
          <w:sz w:val="22"/>
        </w:rPr>
        <w:t>means the individual providing instruction and supervision of the apprenticeship program practical hours. This individual must be a licensee of the board in the discipline for which the individual is training, and the training must occur in a licensed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“School”</w:t>
      </w:r>
      <w:r>
        <w:rPr>
          <w:rFonts w:ascii="Times New Roman" w:hAnsi="Times New Roman"/>
          <w:b w:val="false"/>
          <w:i w:val="false"/>
          <w:color w:val="000000"/>
          <w:sz w:val="22"/>
        </w:rPr>
        <w:t> </w:t>
      </w:r>
      <w:r>
        <w:rPr>
          <w:rFonts w:ascii="Times New Roman" w:hAnsi="Times New Roman"/>
          <w:b w:val="false"/>
          <w:i w:val="false"/>
          <w:color w:val="000000"/>
          <w:sz w:val="22"/>
        </w:rPr>
        <w:t>means a school of barbering and cosmetology arts and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“School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issued to an establishment that is a fixed location for the instruction of students in barbering and cosmetology arts and sciences.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481—941.2</w:t>
      </w:r>
      <w:r>
        <w:rPr>
          <w:rFonts w:ascii="Times New Roman" w:hAnsi="Times New Roman"/>
          <w:b/>
          <w:i w:val="false"/>
          <w:color w:val="000000"/>
          <w:sz w:val="22"/>
        </w:rPr>
        <w:t xml:space="preserve">(157) </w:t>
      </w:r>
      <w:r>
        <w:rPr>
          <w:rFonts w:ascii="Times New Roman" w:hAnsi="Times New Roman"/>
          <w:b/>
          <w:i w:val="false"/>
          <w:color w:val="000000"/>
          <w:sz w:val="22"/>
        </w:rPr>
        <w:t xml:space="preserve">Establishment licensing. </w:t>
      </w:r>
      <w:r>
        <w:rPr>
          <w:rFonts w:ascii="Times New Roman" w:hAnsi="Times New Roman"/>
          <w:b w:val="false"/>
          <w:i w:val="false"/>
          <w:color w:val="000000"/>
          <w:sz w:val="22"/>
        </w:rPr>
        <w:t>No person shall operate an establishment unless the owner has obtained a license issued by the board. A separate enclosed area inside an establishment that is operated as an independent business for the purpose of providing barbering and cosmetology services shall be considered its own establishment and shall not operate unless an establishment license is obtained. To determine what defines an independent contractor versus an employee, persons should contact the Iowa division of labor.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941.2(1)</w:t>
      </w:r>
      <w:r>
        <w:rPr>
          <w:rFonts w:ascii="Times New Roman" w:hAnsi="Times New Roman"/>
          <w:b w:val="false"/>
          <w:i w:val="false"/>
          <w:color w:val="000000"/>
          <w:sz w:val="22"/>
        </w:rPr>
        <w:t> </w:t>
      </w:r>
      <w:r>
        <w:rPr>
          <w:rFonts w:ascii="Times New Roman" w:hAnsi="Times New Roman"/>
          <w:b w:val="false"/>
          <w:i w:val="false"/>
          <w:color w:val="000000"/>
          <w:sz w:val="22"/>
        </w:rPr>
        <w:t>The owner shall complete a board-approved application form accompanied by the appropriate fees payable by check or money order to the board of barbering and cosmetology arts and sciences. The fees are nonrefundable. The application shall be completed according to the instructions contained in the application and submitted 30 days prior to the anticipated opening day. If the application is not completed according to the instructions, the application will not be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establishment shall meet the requirements for sanitary conditions established in </w:t>
      </w:r>
      <w:hyperlink r:id="rId8">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 xml:space="preserve"> to be eligible for licensing. The establishment may be inspected for compliance with sanitation rules within 12 months following the issuance of the establishment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establishment license may be for a fixed location or a location that is readily movable.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Stationary establishment. A stationary establishment license shall be issued for a specific location. A change in location or site of a stationary establishment shall result in the cancellation of the existing license and necessitate application for a new license and payment of the fee required by </w:t>
      </w:r>
      <w:hyperlink r:id="rId9">
        <w:r>
          <w:rPr>
            <w:rStyle w:val="Hyperlink"/>
            <w:rFonts w:ascii="Times New Roman" w:hAnsi="Times New Roman"/>
            <w:b w:val="false"/>
            <w:i w:val="false"/>
            <w:color w:val="000000"/>
            <w:sz w:val="22"/>
          </w:rPr>
          <w:t>481—subrule 507.2(7)</w:t>
        </w:r>
      </w:hyperlink>
      <w:r>
        <w:rPr>
          <w:rFonts w:ascii="Times New Roman" w:hAnsi="Times New Roman"/>
          <w:b w:val="false"/>
          <w:i w:val="false"/>
          <w:color w:val="000000"/>
          <w:sz w:val="22"/>
        </w:rPr>
        <w:t>. A change of address without a change of actual location shall not be construed as a new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Readily movable establishment. A readily movable establishment license shall be issued for a permanent physical address. The licensee is required to provide a permanent physical address for board correspondence. A readily movable establishment may operate in a legal parking spot or on private property, with the permission of the owner or the owner’s designee, anywhere in the state of Iowa, provided the readily movable establishment is operating in compliance with applicable federal and state transportation, environmental, and sanitary regulations, including those in this chapter and in </w:t>
      </w:r>
      <w:hyperlink r:id="rId10">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Establishment owner’s contact information. The listed owner of either a stationary or readily movable establishment must update the board within 30 days of a change in contact information, which includes telephone number, email address,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941.2(3)</w:t>
      </w:r>
      <w:r>
        <w:rPr>
          <w:rFonts w:ascii="Times New Roman" w:hAnsi="Times New Roman"/>
          <w:b w:val="false"/>
          <w:i w:val="false"/>
          <w:color w:val="000000"/>
          <w:sz w:val="22"/>
        </w:rPr>
        <w:t> </w:t>
      </w:r>
      <w:r>
        <w:rPr>
          <w:rFonts w:ascii="Times New Roman" w:hAnsi="Times New Roman"/>
          <w:b w:val="false"/>
          <w:i w:val="false"/>
          <w:color w:val="000000"/>
          <w:sz w:val="22"/>
        </w:rPr>
        <w:t>Business may commence at the establishment following activation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941.2(4)</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shall be considered invalid and shall be destroyed. The records will be maintained after two years only if the applicant submits a written request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941.2(5)</w:t>
      </w:r>
      <w:r>
        <w:rPr>
          <w:rFonts w:ascii="Times New Roman" w:hAnsi="Times New Roman"/>
          <w:b w:val="false"/>
          <w:i w:val="false"/>
          <w:color w:val="000000"/>
          <w:sz w:val="22"/>
        </w:rPr>
        <w:t> </w:t>
      </w:r>
      <w:r>
        <w:rPr>
          <w:rFonts w:ascii="Times New Roman" w:hAnsi="Times New Roman"/>
          <w:b w:val="false"/>
          <w:i w:val="false"/>
          <w:color w:val="000000"/>
          <w:sz w:val="22"/>
        </w:rPr>
        <w:t>An establishment license is not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change in ownership of an establishment shall require the issuance of a new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establishment cannot be sold if disciplinary actions are 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establishment owner sells the establishment, that owner must send the license certificate and a report of the sale to the board within ten days of the date on which the sale is final. The owner of the establishment on record shall retain responsibility for the establishment until the notice of sale is received in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may request legal proof of the ownership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name or the address of an establishment changes, the owner shall notify the board within 30 days of such change. Additionally, the owner shall return the current certificate and pay the reissued certificate fee as specified in rule </w:t>
      </w:r>
      <w:hyperlink r:id="rId11">
        <w:r>
          <w:rPr>
            <w:rStyle w:val="Hyperlink"/>
            <w:rFonts w:ascii="Times New Roman" w:hAnsi="Times New Roman"/>
            <w:b w:val="false"/>
            <w:i w:val="false"/>
            <w:color w:val="000000"/>
            <w:sz w:val="22"/>
          </w:rPr>
          <w:t>481—507.5</w:t>
        </w:r>
      </w:hyperlink>
      <w:r>
        <w:rPr>
          <w:rFonts w:ascii="Times New Roman" w:hAnsi="Times New Roman"/>
          <w:b w:val="false"/>
          <w:i w:val="false"/>
          <w:color w:val="000000"/>
          <w:sz w:val="22"/>
        </w:rPr>
        <w:t>(147,157).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481—941.3</w:t>
      </w:r>
      <w:r>
        <w:rPr>
          <w:rFonts w:ascii="Times New Roman" w:hAnsi="Times New Roman"/>
          <w:b/>
          <w:i w:val="false"/>
          <w:color w:val="000000"/>
          <w:sz w:val="22"/>
        </w:rPr>
        <w:t xml:space="preserve">(157) </w:t>
      </w:r>
      <w:r>
        <w:rPr>
          <w:rFonts w:ascii="Times New Roman" w:hAnsi="Times New Roman"/>
          <w:b/>
          <w:i w:val="false"/>
          <w:color w:val="000000"/>
          <w:sz w:val="22"/>
        </w:rPr>
        <w:t xml:space="preserve">Readily movable establishment. </w:t>
      </w:r>
      <w:r>
        <w:rPr>
          <w:rFonts w:ascii="Times New Roman" w:hAnsi="Times New Roman"/>
          <w:b w:val="false"/>
          <w:i w:val="false"/>
          <w:color w:val="000000"/>
          <w:sz w:val="22"/>
        </w:rPr>
        <w:t>A mobile home, motor home, trailer, or other recreational vehicle may be used as a readily movable establishment if it complies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941.3(1)</w:t>
      </w:r>
      <w:r>
        <w:rPr>
          <w:rFonts w:ascii="Times New Roman" w:hAnsi="Times New Roman"/>
          <w:b w:val="false"/>
          <w:i w:val="false"/>
          <w:color w:val="000000"/>
          <w:sz w:val="22"/>
        </w:rPr>
        <w:t> </w:t>
      </w:r>
      <w:r>
        <w:rPr>
          <w:rFonts w:ascii="Times New Roman" w:hAnsi="Times New Roman"/>
          <w:b w:val="false"/>
          <w:i w:val="false"/>
          <w:color w:val="000000"/>
          <w:sz w:val="22"/>
        </w:rPr>
        <w:t>The owner shall possess a current readily movable establishment license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941.3(2)</w:t>
      </w:r>
      <w:r>
        <w:rPr>
          <w:rFonts w:ascii="Times New Roman" w:hAnsi="Times New Roman"/>
          <w:b w:val="false"/>
          <w:i w:val="false"/>
          <w:color w:val="000000"/>
          <w:sz w:val="22"/>
        </w:rPr>
        <w:t> </w:t>
      </w:r>
      <w:r>
        <w:rPr>
          <w:rFonts w:ascii="Times New Roman" w:hAnsi="Times New Roman"/>
          <w:b w:val="false"/>
          <w:i w:val="false"/>
          <w:color w:val="000000"/>
          <w:sz w:val="22"/>
        </w:rPr>
        <w:t>The owner shall complete a board-approved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941.3(3)</w:t>
      </w:r>
      <w:r>
        <w:rPr>
          <w:rFonts w:ascii="Times New Roman" w:hAnsi="Times New Roman"/>
          <w:b w:val="false"/>
          <w:i w:val="false"/>
          <w:color w:val="000000"/>
          <w:sz w:val="22"/>
        </w:rPr>
        <w:t> </w:t>
      </w:r>
      <w:r>
        <w:rPr>
          <w:rFonts w:ascii="Times New Roman" w:hAnsi="Times New Roman"/>
          <w:b w:val="false"/>
          <w:i w:val="false"/>
          <w:color w:val="000000"/>
          <w:sz w:val="22"/>
        </w:rPr>
        <w:t>The readily movable establishment’s owner’s telephone number, email address, and permanent address must be included on the application for licensure and must be updated and accurate.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941.3(4)</w:t>
      </w:r>
      <w:r>
        <w:rPr>
          <w:rFonts w:ascii="Times New Roman" w:hAnsi="Times New Roman"/>
          <w:b w:val="false"/>
          <w:i w:val="false"/>
          <w:color w:val="000000"/>
          <w:sz w:val="22"/>
        </w:rPr>
        <w:t> </w:t>
      </w:r>
      <w:r>
        <w:rPr>
          <w:rFonts w:ascii="Times New Roman" w:hAnsi="Times New Roman"/>
          <w:b w:val="false"/>
          <w:i w:val="false"/>
          <w:color w:val="000000"/>
          <w:sz w:val="22"/>
        </w:rPr>
        <w:t>No service may be performed on a client in a moving vehicle. Services shall be performed in a readily movable establishment that is parked in a legal parking spot.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941.3(5)</w:t>
      </w:r>
      <w:r>
        <w:rPr>
          <w:rFonts w:ascii="Times New Roman" w:hAnsi="Times New Roman"/>
          <w:b w:val="false"/>
          <w:i w:val="false"/>
          <w:color w:val="000000"/>
          <w:sz w:val="22"/>
        </w:rPr>
        <w:t> </w:t>
      </w:r>
      <w:r>
        <w:rPr>
          <w:rFonts w:ascii="Times New Roman" w:hAnsi="Times New Roman"/>
          <w:b w:val="false"/>
          <w:i w:val="false"/>
          <w:color w:val="000000"/>
          <w:sz w:val="22"/>
        </w:rPr>
        <w:t>Readily movable establishments must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supply of hot and cold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floor surface in the service area that is nonabsorbent and easily cleanable;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Work surfaces that are easily cleanable;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Cabinets secured with safety catches wherein all chemicals shall be stored when the vehicle is moving;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first-aid kit that includes adhesive dressing, gauze and antiseptic, tape, triple antibiotics, eyewash, and gloves.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941.3(6)</w:t>
      </w:r>
      <w:r>
        <w:rPr>
          <w:rFonts w:ascii="Times New Roman" w:hAnsi="Times New Roman"/>
          <w:b w:val="false"/>
          <w:i w:val="false"/>
          <w:color w:val="000000"/>
          <w:sz w:val="22"/>
        </w:rPr>
        <w:t> </w:t>
      </w:r>
      <w:r>
        <w:rPr>
          <w:rFonts w:ascii="Times New Roman" w:hAnsi="Times New Roman"/>
          <w:b w:val="false"/>
          <w:i w:val="false"/>
          <w:color w:val="000000"/>
          <w:sz w:val="22"/>
        </w:rPr>
        <w:t xml:space="preserve">A readily movable establishment must comply with all rules in </w:t>
      </w:r>
      <w:hyperlink r:id="rId12">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 xml:space="preserve">, “Infection Control for Establishments and Schools of Barbering and Cosmetology Arts and Sciences,” except rules </w:t>
      </w:r>
      <w:hyperlink r:id="rId13">
        <w:r>
          <w:rPr>
            <w:rStyle w:val="Hyperlink"/>
            <w:rFonts w:ascii="Times New Roman" w:hAnsi="Times New Roman"/>
            <w:b w:val="false"/>
            <w:i w:val="false"/>
            <w:color w:val="000000"/>
            <w:sz w:val="22"/>
          </w:rPr>
          <w:t>481—943.6</w:t>
        </w:r>
      </w:hyperlink>
      <w:r>
        <w:rPr>
          <w:rFonts w:ascii="Times New Roman" w:hAnsi="Times New Roman"/>
          <w:b w:val="false"/>
          <w:i w:val="false"/>
          <w:color w:val="000000"/>
          <w:sz w:val="22"/>
        </w:rPr>
        <w:t xml:space="preserve">(157) through </w:t>
      </w:r>
      <w:hyperlink r:id="rId14">
        <w:r>
          <w:rPr>
            <w:rStyle w:val="Hyperlink"/>
            <w:rFonts w:ascii="Times New Roman" w:hAnsi="Times New Roman"/>
            <w:b w:val="false"/>
            <w:i w:val="false"/>
            <w:color w:val="000000"/>
            <w:sz w:val="22"/>
          </w:rPr>
          <w:t>481—943.8</w:t>
        </w:r>
      </w:hyperlink>
      <w:r>
        <w:rPr>
          <w:rFonts w:ascii="Times New Roman" w:hAnsi="Times New Roman"/>
          <w:b w:val="false"/>
          <w:i w:val="false"/>
          <w:color w:val="000000"/>
          <w:sz w:val="22"/>
        </w:rPr>
        <w:t>(157).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481—941.4</w:t>
      </w:r>
      <w:r>
        <w:rPr>
          <w:rFonts w:ascii="Times New Roman" w:hAnsi="Times New Roman"/>
          <w:b/>
          <w:i w:val="false"/>
          <w:color w:val="000000"/>
          <w:sz w:val="22"/>
        </w:rPr>
        <w:t xml:space="preserve">(157) </w:t>
      </w:r>
      <w:r>
        <w:rPr>
          <w:rFonts w:ascii="Times New Roman" w:hAnsi="Times New Roman"/>
          <w:b/>
          <w:i w:val="false"/>
          <w:color w:val="000000"/>
          <w:sz w:val="22"/>
        </w:rPr>
        <w:t xml:space="preserve">Establishment 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941.4(1)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an establishment license shall begin on January 1 of every odd-numbered year and end on December 31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941.4(2)</w:t>
      </w:r>
      <w:r>
        <w:rPr>
          <w:rFonts w:ascii="Times New Roman" w:hAnsi="Times New Roman"/>
          <w:b w:val="false"/>
          <w:i w:val="false"/>
          <w:color w:val="000000"/>
          <w:sz w:val="22"/>
        </w:rPr>
        <w:t> </w:t>
      </w:r>
      <w:r>
        <w:rPr>
          <w:rFonts w:ascii="Times New Roman" w:hAnsi="Times New Roman"/>
          <w:b w:val="false"/>
          <w:i w:val="false"/>
          <w:color w:val="000000"/>
          <w:sz w:val="22"/>
        </w:rPr>
        <w:t>A renewal of license notice shall be electronically mailed to the owner of the establishment prior to the expiration of the license. Failure to receive the renewal notice shall not relieve the owner of the obligation to pay the biennial renewal fee on or before the renewal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941.4(3)</w:t>
      </w:r>
      <w:r>
        <w:rPr>
          <w:rFonts w:ascii="Times New Roman" w:hAnsi="Times New Roman"/>
          <w:b w:val="false"/>
          <w:i w:val="false"/>
          <w:color w:val="000000"/>
          <w:sz w:val="22"/>
        </w:rPr>
        <w:t> </w:t>
      </w:r>
      <w:r>
        <w:rPr>
          <w:rFonts w:ascii="Times New Roman" w:hAnsi="Times New Roman"/>
          <w:b w:val="false"/>
          <w:i w:val="false"/>
          <w:color w:val="000000"/>
          <w:sz w:val="22"/>
        </w:rPr>
        <w:t>An establishment that is issued a license within six months of the license renewal date will not be required to renew the license until the next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941.4(4)</w:t>
      </w:r>
      <w:r>
        <w:rPr>
          <w:rFonts w:ascii="Times New Roman" w:hAnsi="Times New Roman"/>
          <w:b w:val="false"/>
          <w:i w:val="false"/>
          <w:color w:val="000000"/>
          <w:sz w:val="22"/>
        </w:rPr>
        <w:t> </w:t>
      </w:r>
      <w:r>
        <w:rPr>
          <w:rFonts w:ascii="Times New Roman" w:hAnsi="Times New Roman"/>
          <w:b w:val="false"/>
          <w:i w:val="false"/>
          <w:color w:val="000000"/>
          <w:sz w:val="22"/>
        </w:rPr>
        <w:t>The establishment owner shall submit the completed application with the renewal fee to the board office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941.4(5)</w:t>
      </w:r>
      <w:r>
        <w:rPr>
          <w:rFonts w:ascii="Times New Roman" w:hAnsi="Times New Roman"/>
          <w:b w:val="false"/>
          <w:i w:val="false"/>
          <w:color w:val="000000"/>
          <w:sz w:val="22"/>
        </w:rPr>
        <w:t> </w:t>
      </w:r>
      <w:r>
        <w:rPr>
          <w:rFonts w:ascii="Times New Roman" w:hAnsi="Times New Roman"/>
          <w:b w:val="false"/>
          <w:i w:val="false"/>
          <w:color w:val="000000"/>
          <w:sz w:val="22"/>
        </w:rPr>
        <w:t xml:space="preserve">An establishment shall be in full compliance with this chapter and </w:t>
      </w:r>
      <w:hyperlink r:id="rId15">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 xml:space="preserve"> to be eligible for renewal. When all requirements for license renewal are met, the establishment shall be issued a 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941.4(6)</w:t>
      </w:r>
      <w:r>
        <w:rPr>
          <w:rFonts w:ascii="Times New Roman" w:hAnsi="Times New Roman"/>
          <w:b w:val="false"/>
          <w:i w:val="false"/>
          <w:color w:val="000000"/>
          <w:sz w:val="22"/>
        </w:rPr>
        <w:t> </w:t>
      </w:r>
      <w:r>
        <w:rPr>
          <w:rFonts w:ascii="Times New Roman" w:hAnsi="Times New Roman"/>
          <w:b w:val="false"/>
          <w:i w:val="false"/>
          <w:color w:val="000000"/>
          <w:sz w:val="22"/>
        </w:rPr>
        <w:t>If the renewal fee and renewal application are received in the office after the license expiration date, but within 30 days following the expiration date, the late fee for failure to renew before expiration shall be charged.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481—941.5</w:t>
      </w:r>
      <w:r>
        <w:rPr>
          <w:rFonts w:ascii="Times New Roman" w:hAnsi="Times New Roman"/>
          <w:b/>
          <w:i w:val="false"/>
          <w:color w:val="000000"/>
          <w:sz w:val="22"/>
        </w:rPr>
        <w:t xml:space="preserve">(272C) </w:t>
      </w:r>
      <w:r>
        <w:rPr>
          <w:rFonts w:ascii="Times New Roman" w:hAnsi="Times New Roman"/>
          <w:b/>
          <w:i w:val="false"/>
          <w:color w:val="000000"/>
          <w:sz w:val="22"/>
        </w:rPr>
        <w:t xml:space="preserve">Inactive establishment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941.5(1)</w:t>
      </w:r>
      <w:r>
        <w:rPr>
          <w:rFonts w:ascii="Times New Roman" w:hAnsi="Times New Roman"/>
          <w:b w:val="false"/>
          <w:i w:val="false"/>
          <w:color w:val="000000"/>
          <w:sz w:val="22"/>
        </w:rPr>
        <w:t> </w:t>
      </w:r>
      <w:r>
        <w:rPr>
          <w:rFonts w:ascii="Times New Roman" w:hAnsi="Times New Roman"/>
          <w:b w:val="false"/>
          <w:i w:val="false"/>
          <w:color w:val="000000"/>
          <w:sz w:val="22"/>
        </w:rPr>
        <w:t>An establishment that has not renewed the establishment license within the required time frame will have an inactive license and shall not provide barbering and cosmetology arts and sciences services until the license is reactivated.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941.5(2)</w:t>
      </w:r>
      <w:r>
        <w:rPr>
          <w:rFonts w:ascii="Times New Roman" w:hAnsi="Times New Roman"/>
          <w:b w:val="false"/>
          <w:i w:val="false"/>
          <w:color w:val="000000"/>
          <w:sz w:val="22"/>
        </w:rPr>
        <w:t> </w:t>
      </w:r>
      <w:r>
        <w:rPr>
          <w:rFonts w:ascii="Times New Roman" w:hAnsi="Times New Roman"/>
          <w:b w:val="false"/>
          <w:i w:val="false"/>
          <w:color w:val="000000"/>
          <w:sz w:val="22"/>
        </w:rPr>
        <w:t>To reactivate an establishment license, the reactivation application and fee shall be submitted to the board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481—941.6</w:t>
      </w:r>
      <w:r>
        <w:rPr>
          <w:rFonts w:ascii="Times New Roman" w:hAnsi="Times New Roman"/>
          <w:b/>
          <w:i w:val="false"/>
          <w:color w:val="000000"/>
          <w:sz w:val="22"/>
        </w:rPr>
        <w:t xml:space="preserve">(157) </w:t>
      </w:r>
      <w:r>
        <w:rPr>
          <w:rFonts w:ascii="Times New Roman" w:hAnsi="Times New Roman"/>
          <w:b/>
          <w:i w:val="false"/>
          <w:color w:val="000000"/>
          <w:sz w:val="22"/>
        </w:rPr>
        <w:t xml:space="preserve">Display requirements for establishments.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941.6(1)</w:t>
      </w:r>
      <w:r>
        <w:rPr>
          <w:rFonts w:ascii="Times New Roman" w:hAnsi="Times New Roman"/>
          <w:b w:val="false"/>
          <w:i w:val="false"/>
          <w:color w:val="000000"/>
          <w:sz w:val="22"/>
        </w:rPr>
        <w:t> </w:t>
      </w:r>
      <w:r>
        <w:rPr>
          <w:rFonts w:ascii="Times New Roman" w:hAnsi="Times New Roman"/>
          <w:b w:val="false"/>
          <w:i w:val="false"/>
          <w:color w:val="000000"/>
          <w:sz w:val="22"/>
        </w:rPr>
        <w:t>Every establishment shall have a sign visible outside the entrance designating the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941.6(2)</w:t>
      </w:r>
      <w:r>
        <w:rPr>
          <w:rFonts w:ascii="Times New Roman" w:hAnsi="Times New Roman"/>
          <w:b w:val="false"/>
          <w:i w:val="false"/>
          <w:color w:val="000000"/>
          <w:sz w:val="22"/>
        </w:rPr>
        <w:t> </w:t>
      </w:r>
      <w:r>
        <w:rPr>
          <w:rFonts w:ascii="Times New Roman" w:hAnsi="Times New Roman"/>
          <w:b w:val="false"/>
          <w:i w:val="false"/>
          <w:color w:val="000000"/>
          <w:sz w:val="22"/>
        </w:rPr>
        <w:t>The most current establishment license proof of renewal shall be posted in the establishment front entrance area to provide the public a full, unobstructed view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941.6(3)</w:t>
      </w:r>
      <w:r>
        <w:rPr>
          <w:rFonts w:ascii="Times New Roman" w:hAnsi="Times New Roman"/>
          <w:b w:val="false"/>
          <w:i w:val="false"/>
          <w:color w:val="000000"/>
          <w:sz w:val="22"/>
        </w:rPr>
        <w:t> </w:t>
      </w:r>
      <w:r>
        <w:rPr>
          <w:rFonts w:ascii="Times New Roman" w:hAnsi="Times New Roman"/>
          <w:b w:val="false"/>
          <w:i w:val="false"/>
          <w:color w:val="000000"/>
          <w:sz w:val="22"/>
        </w:rPr>
        <w:t>The most current license proof of renewal for each licensee working in the establishment shall be posted in the establishment front entrance area to provide the public a full, unobstructed view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941.6(4)</w:t>
      </w:r>
      <w:r>
        <w:rPr>
          <w:rFonts w:ascii="Times New Roman" w:hAnsi="Times New Roman"/>
          <w:b w:val="false"/>
          <w:i w:val="false"/>
          <w:color w:val="000000"/>
          <w:sz w:val="22"/>
        </w:rPr>
        <w:t> </w:t>
      </w:r>
      <w:r>
        <w:rPr>
          <w:rFonts w:ascii="Times New Roman" w:hAnsi="Times New Roman"/>
          <w:b w:val="false"/>
          <w:i w:val="false"/>
          <w:color w:val="000000"/>
          <w:sz w:val="22"/>
        </w:rPr>
        <w:t>If the licensee works in more than one establishment, the current proof of renewal shall be posted in the primary place of practice, and the licensee shall be able to provide the renewal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941.6(5)</w:t>
      </w:r>
      <w:r>
        <w:rPr>
          <w:rFonts w:ascii="Times New Roman" w:hAnsi="Times New Roman"/>
          <w:b w:val="false"/>
          <w:i w:val="false"/>
          <w:color w:val="000000"/>
          <w:sz w:val="22"/>
        </w:rPr>
        <w:t> </w:t>
      </w:r>
      <w:r>
        <w:rPr>
          <w:rFonts w:ascii="Times New Roman" w:hAnsi="Times New Roman"/>
          <w:b w:val="false"/>
          <w:i w:val="false"/>
          <w:color w:val="000000"/>
          <w:sz w:val="22"/>
        </w:rPr>
        <w:t>If a licensed establishment is operating an apprenticeship program, a sign shall be clearly displayed in the entrance of such establishment that indicates in prominent lettering that apprentices are employed at the establishment and may perform services under the supervision of a licensed apprenticeship supervisor.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941.6(6)</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blow-dry stylist(s) engage in the practice of blow-dry styling at a licensed establishment, a sign shall be clearly displayed in the entrance of such establishment that indicates in prominent lettering that blow-dry stylist(s) perform limited services, as defined in Iowa Code section </w:t>
      </w:r>
      <w:hyperlink r:id="rId16">
        <w:r>
          <w:rPr>
            <w:rStyle w:val="Hyperlink"/>
            <w:rFonts w:ascii="Times New Roman" w:hAnsi="Times New Roman"/>
            <w:b w:val="false"/>
            <w:i w:val="false"/>
            <w:color w:val="000000"/>
            <w:sz w:val="22"/>
          </w:rPr>
          <w:t>157.12C</w:t>
        </w:r>
      </w:hyperlink>
      <w:r>
        <w:rPr>
          <w:rFonts w:ascii="Times New Roman" w:hAnsi="Times New Roman"/>
          <w:b w:val="false"/>
          <w:i w:val="false"/>
          <w:color w:val="000000"/>
          <w:sz w:val="22"/>
        </w:rPr>
        <w:t>, in the licensed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941.6(7)</w:t>
      </w:r>
      <w:r>
        <w:rPr>
          <w:rFonts w:ascii="Times New Roman" w:hAnsi="Times New Roman"/>
          <w:b w:val="false"/>
          <w:i w:val="false"/>
          <w:color w:val="000000"/>
          <w:sz w:val="22"/>
        </w:rPr>
        <w:t> </w:t>
      </w:r>
      <w:r>
        <w:rPr>
          <w:rFonts w:ascii="Times New Roman" w:hAnsi="Times New Roman"/>
          <w:b w:val="false"/>
          <w:i w:val="false"/>
          <w:color w:val="000000"/>
          <w:sz w:val="22"/>
        </w:rPr>
        <w:t>Each licensee, blow-dry stylist and apprentice shall have a valid U.S. government-issued photo ID to provide to an agent of the board upon request as proof of identity.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481—941.7</w:t>
      </w:r>
      <w:r>
        <w:rPr>
          <w:rFonts w:ascii="Times New Roman" w:hAnsi="Times New Roman"/>
          <w:b/>
          <w:i w:val="false"/>
          <w:color w:val="000000"/>
          <w:sz w:val="22"/>
        </w:rPr>
        <w:t xml:space="preserve">(147) </w:t>
      </w:r>
      <w:r>
        <w:rPr>
          <w:rFonts w:ascii="Times New Roman" w:hAnsi="Times New Roman"/>
          <w:b/>
          <w:i w:val="false"/>
          <w:color w:val="000000"/>
          <w:sz w:val="22"/>
        </w:rPr>
        <w:t xml:space="preserve">Duplicate certificate for establishments.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941.7(1)</w:t>
      </w:r>
      <w:r>
        <w:rPr>
          <w:rFonts w:ascii="Times New Roman" w:hAnsi="Times New Roman"/>
          <w:b w:val="false"/>
          <w:i w:val="false"/>
          <w:color w:val="000000"/>
          <w:sz w:val="22"/>
        </w:rPr>
        <w:t> </w:t>
      </w:r>
      <w:r>
        <w:rPr>
          <w:rFonts w:ascii="Times New Roman" w:hAnsi="Times New Roman"/>
          <w:b w:val="false"/>
          <w:i w:val="false"/>
          <w:color w:val="000000"/>
          <w:sz w:val="22"/>
        </w:rPr>
        <w:t>A duplicate certificate shall be required if the current certificate is lost, stolen or destroyed. A duplicate certificate shall only be issued under such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941.7(2)</w:t>
      </w:r>
      <w:r>
        <w:rPr>
          <w:rFonts w:ascii="Times New Roman" w:hAnsi="Times New Roman"/>
          <w:b w:val="false"/>
          <w:i w:val="false"/>
          <w:color w:val="000000"/>
          <w:sz w:val="22"/>
        </w:rPr>
        <w:t> </w:t>
      </w:r>
      <w:r>
        <w:rPr>
          <w:rFonts w:ascii="Times New Roman" w:hAnsi="Times New Roman"/>
          <w:b w:val="false"/>
          <w:i w:val="false"/>
          <w:color w:val="000000"/>
          <w:sz w:val="22"/>
        </w:rPr>
        <w:t xml:space="preserve">A duplicate establishment certificate shall be issued upon receipt of a completed application and receipt of the fee as specified in </w:t>
      </w:r>
      <w:hyperlink r:id="rId17">
        <w:r>
          <w:rPr>
            <w:rStyle w:val="Hyperlink"/>
            <w:rFonts w:ascii="Times New Roman" w:hAnsi="Times New Roman"/>
            <w:b w:val="false"/>
            <w:i w:val="false"/>
            <w:color w:val="000000"/>
            <w:sz w:val="22"/>
          </w:rPr>
          <w:t>481—subrule 507.5(5)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941.7(3)</w:t>
      </w:r>
      <w:r>
        <w:rPr>
          <w:rFonts w:ascii="Times New Roman" w:hAnsi="Times New Roman"/>
          <w:b w:val="false"/>
          <w:i w:val="false"/>
          <w:color w:val="000000"/>
          <w:sz w:val="22"/>
        </w:rPr>
        <w:t> </w:t>
      </w:r>
      <w:r>
        <w:rPr>
          <w:rFonts w:ascii="Times New Roman" w:hAnsi="Times New Roman"/>
          <w:b w:val="false"/>
          <w:i w:val="false"/>
          <w:color w:val="000000"/>
          <w:sz w:val="22"/>
        </w:rPr>
        <w:t>If the board receives a completed application stating that the owner of the establishment has not received the certificate within 60 days after the certificate is mailed by the board, no fee shall be required for issuing the duplicate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481—941.8</w:t>
      </w:r>
      <w:r>
        <w:rPr>
          <w:rFonts w:ascii="Times New Roman" w:hAnsi="Times New Roman"/>
          <w:b/>
          <w:i w:val="false"/>
          <w:color w:val="000000"/>
          <w:sz w:val="22"/>
        </w:rPr>
        <w:t xml:space="preserve">(157) </w:t>
      </w:r>
      <w:r>
        <w:rPr>
          <w:rFonts w:ascii="Times New Roman" w:hAnsi="Times New Roman"/>
          <w:b/>
          <w:i w:val="false"/>
          <w:color w:val="000000"/>
          <w:sz w:val="22"/>
        </w:rPr>
        <w:t xml:space="preserve">Licensure for schools of barbering and cosmetology arts and sciences.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941.8(1)</w:t>
      </w:r>
      <w:r>
        <w:rPr>
          <w:rFonts w:ascii="Times New Roman" w:hAnsi="Times New Roman"/>
          <w:b w:val="false"/>
          <w:i w:val="false"/>
          <w:color w:val="000000"/>
          <w:sz w:val="22"/>
        </w:rPr>
        <w:t> </w:t>
      </w:r>
      <w:r>
        <w:rPr>
          <w:rFonts w:ascii="Times New Roman" w:hAnsi="Times New Roman"/>
          <w:b w:val="false"/>
          <w:i w:val="false"/>
          <w:color w:val="000000"/>
          <w:sz w:val="22"/>
        </w:rPr>
        <w:t>An application for a school license shall be submitted 90 days prior to the anticipated opening day of the school. Prior to board review, the application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exact location of the proposed school including a copy of the essential parts of the lease or other documents to provide proof that the owner of the school has occupancy rights for a minimum of one year; a complete plan of the physical facilities; and an explanation detailing how the facilities will be utilized relative to classrooms, clinic space, and a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the names of licensed instructors including the school director(s) for the proposed school if the instructors and school director(s) have been hired by the school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the catalog, brochure, enrollment contract, student policies, and cancellation and refund policies that will be used by the school or distributed by the school to students and the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school’s course of study and curriculum, which shall meet the course of study requirements outlined in rule </w:t>
      </w:r>
      <w:hyperlink r:id="rId18">
        <w:r>
          <w:rPr>
            <w:rStyle w:val="Hyperlink"/>
            <w:rFonts w:ascii="Times New Roman" w:hAnsi="Times New Roman"/>
            <w:b w:val="false"/>
            <w:i w:val="false"/>
            <w:color w:val="000000"/>
            <w:sz w:val="22"/>
          </w:rPr>
          <w:t>481—941.14</w:t>
        </w:r>
      </w:hyperlink>
      <w:r>
        <w:rPr>
          <w:rFonts w:ascii="Times New Roman" w:hAnsi="Times New Roman"/>
          <w:b w:val="false"/>
          <w:i w:val="false"/>
          <w:color w:val="000000"/>
          <w:sz w:val="22"/>
        </w:rPr>
        <w:t>(157).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941.8(2)</w:t>
      </w:r>
      <w:r>
        <w:rPr>
          <w:rFonts w:ascii="Times New Roman" w:hAnsi="Times New Roman"/>
          <w:b w:val="false"/>
          <w:i w:val="false"/>
          <w:color w:val="000000"/>
          <w:sz w:val="22"/>
        </w:rPr>
        <w:t> </w:t>
      </w:r>
      <w:r>
        <w:rPr>
          <w:rFonts w:ascii="Times New Roman" w:hAnsi="Times New Roman"/>
          <w:b w:val="false"/>
          <w:i w:val="false"/>
          <w:color w:val="000000"/>
          <w:sz w:val="22"/>
        </w:rPr>
        <w:t>Prior to issuance of the school license, the school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final list of licensed instructors and director(s) hired for the school. The number of instructors must meet the requirement outlined in Iowa Code section </w:t>
      </w:r>
      <w:hyperlink r:id="rId19">
        <w:r>
          <w:rPr>
            <w:rStyle w:val="Hyperlink"/>
            <w:rFonts w:ascii="Times New Roman" w:hAnsi="Times New Roman"/>
            <w:b w:val="false"/>
            <w:i w:val="false"/>
            <w:color w:val="000000"/>
            <w:sz w:val="22"/>
          </w:rPr>
          <w:t>157.8</w:t>
        </w:r>
      </w:hyperlink>
      <w:r>
        <w:rPr>
          <w:rFonts w:ascii="Times New Roman" w:hAnsi="Times New Roman"/>
          <w:b w:val="false"/>
          <w:i w:val="false"/>
          <w:color w:val="000000"/>
          <w:sz w:val="22"/>
        </w:rPr>
        <w:t>, with the exception of instructors for the mentoring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requirements of this chapter and </w:t>
      </w:r>
      <w:hyperlink r:id="rId20">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 xml:space="preserve"> and pass the board’s inspection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941.8(3)</w:t>
      </w:r>
      <w:r>
        <w:rPr>
          <w:rFonts w:ascii="Times New Roman" w:hAnsi="Times New Roman"/>
          <w:b w:val="false"/>
          <w:i w:val="false"/>
          <w:color w:val="000000"/>
          <w:sz w:val="22"/>
        </w:rPr>
        <w:t> </w:t>
      </w:r>
      <w:r>
        <w:rPr>
          <w:rFonts w:ascii="Times New Roman" w:hAnsi="Times New Roman"/>
          <w:b w:val="false"/>
          <w:i w:val="false"/>
          <w:color w:val="000000"/>
          <w:sz w:val="22"/>
        </w:rPr>
        <w:t>The school owner may be interviewed by the board during the review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941.8(4)</w:t>
      </w:r>
      <w:r>
        <w:rPr>
          <w:rFonts w:ascii="Times New Roman" w:hAnsi="Times New Roman"/>
          <w:b w:val="false"/>
          <w:i w:val="false"/>
          <w:color w:val="000000"/>
          <w:sz w:val="22"/>
        </w:rPr>
        <w:t> </w:t>
      </w:r>
      <w:r>
        <w:rPr>
          <w:rFonts w:ascii="Times New Roman" w:hAnsi="Times New Roman"/>
          <w:b w:val="false"/>
          <w:i w:val="false"/>
          <w:color w:val="000000"/>
          <w:sz w:val="22"/>
        </w:rPr>
        <w:t>After all criteria have been met, the school license shall be granted for the location identified in the school’s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941.8(5)</w:t>
      </w:r>
      <w:r>
        <w:rPr>
          <w:rFonts w:ascii="Times New Roman" w:hAnsi="Times New Roman"/>
          <w:b w:val="false"/>
          <w:i w:val="false"/>
          <w:color w:val="000000"/>
          <w:sz w:val="22"/>
        </w:rPr>
        <w:t> </w:t>
      </w:r>
      <w:r>
        <w:rPr>
          <w:rFonts w:ascii="Times New Roman" w:hAnsi="Times New Roman"/>
          <w:b w:val="false"/>
          <w:i w:val="false"/>
          <w:color w:val="000000"/>
          <w:sz w:val="22"/>
        </w:rPr>
        <w:t>Instruction of students shall not begin until the school license is activated.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941.8(6)</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school must provide proof of registration with the Iowa college student aid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941.8(7)</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shall be considered invalid and shall be destroyed. The records shall be maintained after two years only if the applicant submits a written request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941.8(8)</w:t>
      </w:r>
      <w:r>
        <w:rPr>
          <w:rFonts w:ascii="Times New Roman" w:hAnsi="Times New Roman"/>
          <w:b w:val="false"/>
          <w:i w:val="false"/>
          <w:color w:val="000000"/>
          <w:sz w:val="22"/>
        </w:rPr>
        <w:t> </w:t>
      </w:r>
      <w:r>
        <w:rPr>
          <w:rFonts w:ascii="Times New Roman" w:hAnsi="Times New Roman"/>
          <w:b w:val="false"/>
          <w:i w:val="false"/>
          <w:color w:val="000000"/>
          <w:sz w:val="22"/>
        </w:rPr>
        <w:t>Existing school license, new location. A change of location shall require submission of an application for a new school license and payment of the license fee 90 days in advance of the anticipated date of opening. A change of address without a change of actual location shall not be construed as a new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941.8(9)</w:t>
      </w:r>
      <w:r>
        <w:rPr>
          <w:rFonts w:ascii="Times New Roman" w:hAnsi="Times New Roman"/>
          <w:b w:val="false"/>
          <w:i w:val="false"/>
          <w:color w:val="000000"/>
          <w:sz w:val="22"/>
        </w:rPr>
        <w:t> </w:t>
      </w:r>
      <w:r>
        <w:rPr>
          <w:rFonts w:ascii="Times New Roman" w:hAnsi="Times New Roman"/>
          <w:b w:val="false"/>
          <w:i w:val="false"/>
          <w:color w:val="000000"/>
          <w:sz w:val="22"/>
        </w:rPr>
        <w:t xml:space="preserve">Existing school license, new name. The owner shall notify the board in writing of a change of name within 30 days after the occurrence. In addition, the owner shall return the current certificate and pay the reissued certificate fee as specified in rule </w:t>
      </w:r>
      <w:hyperlink r:id="rId21">
        <w:r>
          <w:rPr>
            <w:rStyle w:val="Hyperlink"/>
            <w:rFonts w:ascii="Times New Roman" w:hAnsi="Times New Roman"/>
            <w:b w:val="false"/>
            <w:i w:val="false"/>
            <w:color w:val="000000"/>
            <w:sz w:val="22"/>
          </w:rPr>
          <w:t>481—507.5</w:t>
        </w:r>
      </w:hyperlink>
      <w:r>
        <w:rPr>
          <w:rFonts w:ascii="Times New Roman" w:hAnsi="Times New Roman"/>
          <w:b w:val="false"/>
          <w:i w:val="false"/>
          <w:color w:val="000000"/>
          <w:sz w:val="22"/>
        </w:rPr>
        <w:t>(147,157).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941.8(10)</w:t>
      </w:r>
      <w:r>
        <w:rPr>
          <w:rFonts w:ascii="Times New Roman" w:hAnsi="Times New Roman"/>
          <w:b w:val="false"/>
          <w:i w:val="false"/>
          <w:color w:val="000000"/>
          <w:sz w:val="22"/>
        </w:rPr>
        <w:t> </w:t>
      </w:r>
      <w:r>
        <w:rPr>
          <w:rFonts w:ascii="Times New Roman" w:hAnsi="Times New Roman"/>
          <w:b w:val="false"/>
          <w:i w:val="false"/>
          <w:color w:val="000000"/>
          <w:sz w:val="22"/>
        </w:rPr>
        <w:t>Existing school license, change of ownership. A school license is not transferable. A change in ownership of a school shall require the issuance of a new license. A school cannot be sold if disciplinary actions are 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may request legal proof of the ownership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school owner sells the school, that owner must send the license certificate and a report of the sale to the board within ten days of the date on which the sale is final. The owner of the school on record shall retain responsibility for the school until the new school owner has been issued an active school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new school owner shall follow all requirements as outlined in rule </w:t>
      </w:r>
      <w:hyperlink r:id="rId22">
        <w:r>
          <w:rPr>
            <w:rStyle w:val="Hyperlink"/>
            <w:rFonts w:ascii="Times New Roman" w:hAnsi="Times New Roman"/>
            <w:b w:val="false"/>
            <w:i w:val="false"/>
            <w:color w:val="000000"/>
            <w:sz w:val="22"/>
          </w:rPr>
          <w:t>481—941.8</w:t>
        </w:r>
      </w:hyperlink>
      <w:r>
        <w:rPr>
          <w:rFonts w:ascii="Times New Roman" w:hAnsi="Times New Roman"/>
          <w:b w:val="false"/>
          <w:i w:val="false"/>
          <w:color w:val="000000"/>
          <w:sz w:val="22"/>
        </w:rPr>
        <w:t xml:space="preserve">(157).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941.8(11)</w:t>
      </w:r>
      <w:r>
        <w:rPr>
          <w:rFonts w:ascii="Times New Roman" w:hAnsi="Times New Roman"/>
          <w:b w:val="false"/>
          <w:i w:val="false"/>
          <w:color w:val="000000"/>
          <w:sz w:val="22"/>
        </w:rPr>
        <w:t> </w:t>
      </w:r>
      <w:r>
        <w:rPr>
          <w:rFonts w:ascii="Times New Roman" w:hAnsi="Times New Roman"/>
          <w:b w:val="false"/>
          <w:i w:val="false"/>
          <w:color w:val="000000"/>
          <w:sz w:val="22"/>
        </w:rPr>
        <w:t xml:space="preserve">Any school licensed as a barber school under rule </w:t>
      </w:r>
      <w:hyperlink r:id="rId23">
        <w:r>
          <w:rPr>
            <w:rStyle w:val="Hyperlink"/>
            <w:rFonts w:ascii="Times New Roman" w:hAnsi="Times New Roman"/>
            <w:b w:val="false"/>
            <w:i w:val="false"/>
            <w:color w:val="000000"/>
            <w:sz w:val="22"/>
          </w:rPr>
          <w:t>645—23.2</w:t>
        </w:r>
      </w:hyperlink>
      <w:r>
        <w:rPr>
          <w:rFonts w:ascii="Times New Roman" w:hAnsi="Times New Roman"/>
          <w:b w:val="false"/>
          <w:i w:val="false"/>
          <w:color w:val="000000"/>
          <w:sz w:val="22"/>
        </w:rPr>
        <w:t>(158) prior to July 1, 2024, will, upon successful renewal, receive a license as a school of barbering and cosmetology arts and sciences. Any school licensed as a cosmetology arts and sciences school under this chapter prior to July 1, 2024, will, upon successful renewal, receive a license as a school of barbering and cosmetology arts and sciences.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157.6</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157.8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481—941.9</w:t>
      </w:r>
      <w:r>
        <w:rPr>
          <w:rFonts w:ascii="Times New Roman" w:hAnsi="Times New Roman"/>
          <w:b/>
          <w:i w:val="false"/>
          <w:color w:val="000000"/>
          <w:sz w:val="22"/>
        </w:rPr>
        <w:t xml:space="preserve">(157) </w:t>
      </w:r>
      <w:r>
        <w:rPr>
          <w:rFonts w:ascii="Times New Roman" w:hAnsi="Times New Roman"/>
          <w:b/>
          <w:i w:val="false"/>
          <w:color w:val="000000"/>
          <w:sz w:val="22"/>
        </w:rPr>
        <w:t xml:space="preserve">School 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941.9(1)</w:t>
      </w:r>
      <w:r>
        <w:rPr>
          <w:rFonts w:ascii="Times New Roman" w:hAnsi="Times New Roman"/>
          <w:b w:val="false"/>
          <w:i w:val="false"/>
          <w:color w:val="000000"/>
          <w:sz w:val="22"/>
        </w:rPr>
        <w:t> </w:t>
      </w:r>
      <w:r>
        <w:rPr>
          <w:rFonts w:ascii="Times New Roman" w:hAnsi="Times New Roman"/>
          <w:b w:val="false"/>
          <w:i w:val="false"/>
          <w:color w:val="000000"/>
          <w:sz w:val="22"/>
        </w:rPr>
        <w:t>The annual license renewal period for a school license shall begin on July 1 and end on June 30 one year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online renewal application and renewal fee shall be submitted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Schools shall be in full compliance with this chapter and </w:t>
      </w:r>
      <w:hyperlink r:id="rId27">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 xml:space="preserve"> to be eligible for renewal. When all requirements for license renewal are met, the school shall be issued a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Schools shall successfully complete the annual inspection pursuant to Iowa Code sections </w:t>
      </w:r>
      <w:hyperlink r:id="rId28">
        <w:r>
          <w:rPr>
            <w:rStyle w:val="Hyperlink"/>
            <w:rFonts w:ascii="Times New Roman" w:hAnsi="Times New Roman"/>
            <w:b w:val="false"/>
            <w:i w:val="false"/>
            <w:color w:val="000000"/>
            <w:sz w:val="22"/>
          </w:rPr>
          <w:t>157.6</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157.8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941.9(2)</w:t>
      </w:r>
      <w:r>
        <w:rPr>
          <w:rFonts w:ascii="Times New Roman" w:hAnsi="Times New Roman"/>
          <w:b w:val="false"/>
          <w:i w:val="false"/>
          <w:color w:val="000000"/>
          <w:sz w:val="22"/>
        </w:rPr>
        <w:t> </w:t>
      </w:r>
      <w:r>
        <w:rPr>
          <w:rFonts w:ascii="Times New Roman" w:hAnsi="Times New Roman"/>
          <w:b w:val="false"/>
          <w:i w:val="false"/>
          <w:color w:val="000000"/>
          <w:sz w:val="22"/>
        </w:rPr>
        <w:t>A school that is issued a license within six months of the license renewal date will not be required to renew the license until the next renewal one year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941.9(3)</w:t>
      </w:r>
      <w:r>
        <w:rPr>
          <w:rFonts w:ascii="Times New Roman" w:hAnsi="Times New Roman"/>
          <w:b w:val="false"/>
          <w:i w:val="false"/>
          <w:color w:val="000000"/>
          <w:sz w:val="22"/>
        </w:rPr>
        <w:t> </w:t>
      </w:r>
      <w:r>
        <w:rPr>
          <w:rFonts w:ascii="Times New Roman" w:hAnsi="Times New Roman"/>
          <w:b w:val="false"/>
          <w:i w:val="false"/>
          <w:color w:val="000000"/>
          <w:sz w:val="22"/>
        </w:rPr>
        <w:t>If the renewal fee and renewal application are submitted after the license expiration date, but within 30 days following the expiration date, the late fee for failure to renew before expiration shall be charged.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481—941.10</w:t>
      </w:r>
      <w:r>
        <w:rPr>
          <w:rFonts w:ascii="Times New Roman" w:hAnsi="Times New Roman"/>
          <w:b/>
          <w:i w:val="false"/>
          <w:color w:val="000000"/>
          <w:sz w:val="22"/>
        </w:rPr>
        <w:t xml:space="preserve">(272C) </w:t>
      </w:r>
      <w:r>
        <w:rPr>
          <w:rFonts w:ascii="Times New Roman" w:hAnsi="Times New Roman"/>
          <w:b/>
          <w:i w:val="false"/>
          <w:color w:val="000000"/>
          <w:sz w:val="22"/>
        </w:rPr>
        <w:t xml:space="preserve">Inactive school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941.10(1)</w:t>
      </w:r>
      <w:r>
        <w:rPr>
          <w:rFonts w:ascii="Times New Roman" w:hAnsi="Times New Roman"/>
          <w:b w:val="false"/>
          <w:i w:val="false"/>
          <w:color w:val="000000"/>
          <w:sz w:val="22"/>
        </w:rPr>
        <w:t> </w:t>
      </w:r>
      <w:r>
        <w:rPr>
          <w:rFonts w:ascii="Times New Roman" w:hAnsi="Times New Roman"/>
          <w:b w:val="false"/>
          <w:i w:val="false"/>
          <w:color w:val="000000"/>
          <w:sz w:val="22"/>
        </w:rPr>
        <w:t>If the renewal application and fee are not received in the office within 30 days after the license expiration date, the school license is inactive. To reactivate the school license, the reactivation application and fee shall be submitted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941.10(2)</w:t>
      </w:r>
      <w:r>
        <w:rPr>
          <w:rFonts w:ascii="Times New Roman" w:hAnsi="Times New Roman"/>
          <w:b w:val="false"/>
          <w:i w:val="false"/>
          <w:color w:val="000000"/>
          <w:sz w:val="22"/>
        </w:rPr>
        <w:t> </w:t>
      </w:r>
      <w:r>
        <w:rPr>
          <w:rFonts w:ascii="Times New Roman" w:hAnsi="Times New Roman"/>
          <w:b w:val="false"/>
          <w:i w:val="false"/>
          <w:color w:val="000000"/>
          <w:sz w:val="22"/>
        </w:rPr>
        <w:t>A school that has not renewed the school license within the required time frame will have an inactive license and shall not provide schooling or services until the license is reactivated.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481—941.11</w:t>
      </w:r>
      <w:r>
        <w:rPr>
          <w:rFonts w:ascii="Times New Roman" w:hAnsi="Times New Roman"/>
          <w:b/>
          <w:i w:val="false"/>
          <w:color w:val="000000"/>
          <w:sz w:val="22"/>
        </w:rPr>
        <w:t xml:space="preserve">(157) </w:t>
      </w:r>
      <w:r>
        <w:rPr>
          <w:rFonts w:ascii="Times New Roman" w:hAnsi="Times New Roman"/>
          <w:b/>
          <w:i w:val="false"/>
          <w:color w:val="000000"/>
          <w:sz w:val="22"/>
        </w:rPr>
        <w:t xml:space="preserve">Display requirements for schools.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941.11(1)</w:t>
      </w:r>
      <w:r>
        <w:rPr>
          <w:rFonts w:ascii="Times New Roman" w:hAnsi="Times New Roman"/>
          <w:b w:val="false"/>
          <w:i w:val="false"/>
          <w:color w:val="000000"/>
          <w:sz w:val="22"/>
        </w:rPr>
        <w:t> </w:t>
      </w:r>
      <w:r>
        <w:rPr>
          <w:rFonts w:ascii="Times New Roman" w:hAnsi="Times New Roman"/>
          <w:b w:val="false"/>
          <w:i w:val="false"/>
          <w:color w:val="000000"/>
          <w:sz w:val="22"/>
        </w:rPr>
        <w:t>Every school shall have a sign visible outside the entrance designating the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941.11(2)</w:t>
      </w:r>
      <w:r>
        <w:rPr>
          <w:rFonts w:ascii="Times New Roman" w:hAnsi="Times New Roman"/>
          <w:b w:val="false"/>
          <w:i w:val="false"/>
          <w:color w:val="000000"/>
          <w:sz w:val="22"/>
        </w:rPr>
        <w:t> </w:t>
      </w:r>
      <w:r>
        <w:rPr>
          <w:rFonts w:ascii="Times New Roman" w:hAnsi="Times New Roman"/>
          <w:b w:val="false"/>
          <w:i w:val="false"/>
          <w:color w:val="000000"/>
          <w:sz w:val="22"/>
        </w:rPr>
        <w:t>A school license and the current proof of renewal shall be posted in the school’s front entrance area to provide the public a full unobstructed view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941.11(3)</w:t>
      </w:r>
      <w:r>
        <w:rPr>
          <w:rFonts w:ascii="Times New Roman" w:hAnsi="Times New Roman"/>
          <w:b w:val="false"/>
          <w:i w:val="false"/>
          <w:color w:val="000000"/>
          <w:sz w:val="22"/>
        </w:rPr>
        <w:t> </w:t>
      </w:r>
      <w:r>
        <w:rPr>
          <w:rFonts w:ascii="Times New Roman" w:hAnsi="Times New Roman"/>
          <w:b w:val="false"/>
          <w:i w:val="false"/>
          <w:color w:val="000000"/>
          <w:sz w:val="22"/>
        </w:rPr>
        <w:t>The current license proof of renewal for each instructor working at the school shall be posted in the school’s front entrance area to provide the public a full unobstructed view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941.11(4)</w:t>
      </w:r>
      <w:r>
        <w:rPr>
          <w:rFonts w:ascii="Times New Roman" w:hAnsi="Times New Roman"/>
          <w:b w:val="false"/>
          <w:i w:val="false"/>
          <w:color w:val="000000"/>
          <w:sz w:val="22"/>
        </w:rPr>
        <w:t> </w:t>
      </w:r>
      <w:r>
        <w:rPr>
          <w:rFonts w:ascii="Times New Roman" w:hAnsi="Times New Roman"/>
          <w:b w:val="false"/>
          <w:i w:val="false"/>
          <w:color w:val="000000"/>
          <w:sz w:val="22"/>
        </w:rPr>
        <w:t>Advertisements for a school of barbering and cosmetology arts and sciences shall indicate that all services are performed by students under the supervision of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941.11(5)</w:t>
      </w:r>
      <w:r>
        <w:rPr>
          <w:rFonts w:ascii="Times New Roman" w:hAnsi="Times New Roman"/>
          <w:b w:val="false"/>
          <w:i w:val="false"/>
          <w:color w:val="000000"/>
          <w:sz w:val="22"/>
        </w:rPr>
        <w:t> </w:t>
      </w:r>
      <w:r>
        <w:rPr>
          <w:rFonts w:ascii="Times New Roman" w:hAnsi="Times New Roman"/>
          <w:b w:val="false"/>
          <w:i w:val="false"/>
          <w:color w:val="000000"/>
          <w:sz w:val="22"/>
        </w:rPr>
        <w:t>A sign shall be clearly displayed in the entrance of a school of barbering and cosmetology arts and sciences that indicates in prominent lettering that students perform all services under the supervision of instructors.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481—941.12</w:t>
      </w:r>
      <w:r>
        <w:rPr>
          <w:rFonts w:ascii="Times New Roman" w:hAnsi="Times New Roman"/>
          <w:b/>
          <w:i w:val="false"/>
          <w:color w:val="000000"/>
          <w:sz w:val="22"/>
        </w:rPr>
        <w:t xml:space="preserve">(157) </w:t>
      </w:r>
      <w:r>
        <w:rPr>
          <w:rFonts w:ascii="Times New Roman" w:hAnsi="Times New Roman"/>
          <w:b/>
          <w:i w:val="false"/>
          <w:color w:val="000000"/>
          <w:sz w:val="22"/>
        </w:rPr>
        <w:t xml:space="preserve">Physical requirements for schools of barbering and cosmetology arts and sciences. </w:t>
      </w:r>
      <w:r>
        <w:rPr>
          <w:rFonts w:ascii="Times New Roman" w:hAnsi="Times New Roman"/>
          <w:b w:val="false"/>
          <w:i w:val="false"/>
          <w:color w:val="000000"/>
          <w:sz w:val="22"/>
        </w:rPr>
        <w:t>The school shall meet the following physical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941.12(1)</w:t>
      </w:r>
      <w:r>
        <w:rPr>
          <w:rFonts w:ascii="Times New Roman" w:hAnsi="Times New Roman"/>
          <w:b w:val="false"/>
          <w:i w:val="false"/>
          <w:color w:val="000000"/>
          <w:sz w:val="22"/>
        </w:rPr>
        <w:t> </w:t>
      </w:r>
      <w:r>
        <w:rPr>
          <w:rFonts w:ascii="Times New Roman" w:hAnsi="Times New Roman"/>
          <w:b w:val="false"/>
          <w:i w:val="false"/>
          <w:color w:val="000000"/>
          <w:sz w:val="22"/>
        </w:rPr>
        <w:t>The school premises shall have a minimum floor space of 3,000 square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941.12(2)</w:t>
      </w:r>
      <w:r>
        <w:rPr>
          <w:rFonts w:ascii="Times New Roman" w:hAnsi="Times New Roman"/>
          <w:b w:val="false"/>
          <w:i w:val="false"/>
          <w:color w:val="000000"/>
          <w:sz w:val="22"/>
        </w:rPr>
        <w:t> </w:t>
      </w:r>
      <w:r>
        <w:rPr>
          <w:rFonts w:ascii="Times New Roman" w:hAnsi="Times New Roman"/>
          <w:b w:val="false"/>
          <w:i w:val="false"/>
          <w:color w:val="000000"/>
          <w:sz w:val="22"/>
        </w:rPr>
        <w:t>Each school shall provide a minimum of 100 square feet per student. When the enrollment in a school exceeds 30 students, additional floor space of 30 square feet shall be required for each additional student enrolled in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941.12(3)</w:t>
      </w:r>
      <w:r>
        <w:rPr>
          <w:rFonts w:ascii="Times New Roman" w:hAnsi="Times New Roman"/>
          <w:b w:val="false"/>
          <w:i w:val="false"/>
          <w:color w:val="000000"/>
          <w:sz w:val="22"/>
        </w:rPr>
        <w:t> </w:t>
      </w:r>
      <w:r>
        <w:rPr>
          <w:rFonts w:ascii="Times New Roman" w:hAnsi="Times New Roman"/>
          <w:b w:val="false"/>
          <w:i w:val="false"/>
          <w:color w:val="000000"/>
          <w:sz w:val="22"/>
        </w:rPr>
        <w:t>Each licensed school offering a full barbering and cosmetology arts and sciences curriculum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one clinic area where the paying public will receive services. The clinic area shall be confined to the premises occupied by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theory classroom(s) separate from the clinic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library that is maintained for students and consists of textbooks, current trade publications and business management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separate area that shall be used as a dispensary. The dispensary shall be equipped with a lavatory, shelves or drawers for storing chemicals, cleansing agents and items, sterilization equipment and any other sanitation items required by </w:t>
      </w:r>
      <w:hyperlink r:id="rId30">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 xml:space="preserve">. Clean items and dirty items in the dispensary must be kept separated as required by </w:t>
      </w:r>
      <w:hyperlink r:id="rId31">
        <w:r>
          <w:rPr>
            <w:rStyle w:val="Hyperlink"/>
            <w:rFonts w:ascii="Times New Roman" w:hAnsi="Times New Roman"/>
            <w:b w:val="false"/>
            <w:i w:val="false"/>
            <w:color w:val="000000"/>
            <w:sz w:val="22"/>
          </w:rPr>
          <w:t>481—Chapter 943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Two restrooms that are equipped with toilets, lavatories, soap and disposable paper towel dispensers.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laundry room that is separated from the clinic area by a full wall or partition. Students may not lounge, eat, practice or study in the laundry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separate room that is equipped for the practice of esthetics and electrology.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administrative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941.12(4)</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licensed school offering a single discipline barbering and cosmetology arts and sciences curriculum shall provide the same physical space as outlined in subrule </w:t>
      </w:r>
      <w:r>
        <w:rPr>
          <w:rFonts w:ascii="Times New Roman" w:hAnsi="Times New Roman"/>
          <w:b w:val="false"/>
          <w:i w:val="false"/>
          <w:color w:val="000000"/>
          <w:sz w:val="22"/>
        </w:rPr>
        <w:t>941.12(3)</w:t>
      </w:r>
      <w:r>
        <w:rPr>
          <w:rFonts w:ascii="Times New Roman" w:hAnsi="Times New Roman"/>
          <w:b w:val="false"/>
          <w:i w:val="false"/>
          <w:color w:val="000000"/>
          <w:sz w:val="22"/>
        </w:rPr>
        <w:t xml:space="preserve">. Single discipline schools are exempt from paragraph </w:t>
      </w:r>
      <w:r>
        <w:rPr>
          <w:rFonts w:ascii="Times New Roman" w:hAnsi="Times New Roman"/>
          <w:b w:val="false"/>
          <w:i w:val="false"/>
          <w:color w:val="000000"/>
          <w:sz w:val="22"/>
        </w:rPr>
        <w:t>941.12(3)</w:t>
      </w:r>
      <w:r>
        <w:rPr>
          <w:rFonts w:ascii="Times New Roman" w:hAnsi="Times New Roman"/>
          <w:b w:val="false"/>
          <w:i/>
          <w:color w:val="000000"/>
          <w:sz w:val="22"/>
        </w:rPr>
        <w:t>“g”</w:t>
      </w:r>
      <w:r>
        <w:rPr>
          <w:rFonts w:ascii="Times New Roman" w:hAnsi="Times New Roman"/>
          <w:b w:val="false"/>
          <w:i w:val="false"/>
          <w:color w:val="000000"/>
          <w:sz w:val="22"/>
        </w:rPr>
        <w:t xml:space="preserve"> if the board did not originally approve an electrology or esthetics course of study in the curriculum.</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157.6</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157.8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481—941.13</w:t>
      </w:r>
      <w:r>
        <w:rPr>
          <w:rFonts w:ascii="Times New Roman" w:hAnsi="Times New Roman"/>
          <w:b/>
          <w:i w:val="false"/>
          <w:color w:val="000000"/>
          <w:sz w:val="22"/>
        </w:rPr>
        <w:t xml:space="preserve">(157) </w:t>
      </w:r>
      <w:r>
        <w:rPr>
          <w:rFonts w:ascii="Times New Roman" w:hAnsi="Times New Roman"/>
          <w:b/>
          <w:i w:val="false"/>
          <w:color w:val="000000"/>
          <w:sz w:val="22"/>
        </w:rPr>
        <w:t xml:space="preserve">Minimum equipment requirements. </w:t>
      </w:r>
      <w:r>
        <w:rPr>
          <w:rFonts w:ascii="Times New Roman" w:hAnsi="Times New Roman"/>
          <w:b w:val="false"/>
          <w:i w:val="false"/>
          <w:color w:val="000000"/>
          <w:sz w:val="22"/>
        </w:rPr>
        <w:t>Each school of barbering and cosmetology arts and sciences shall have the following minimum equipment: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Workstations equipped with chair, workstation, closed drawer or container for sanitized articles, and mirror (maximum of two students per unit);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Treatment room(s) when electrology or esthetics or both are offered;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One set of hard-copy or electronic textbooks for each student and instructor;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Adequate number of shampoo bowls and chairs with headrests located in the clinic area and readily accessible for students and clients if the school offers a curriculum course in barbering and cosmetology;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Adequate equipment to perform all services in a safe and sanitary manner;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Audiovisual equipment available for each classroom;</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Chair and table area for each student in the classroom; </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One set of files maintained for all required records;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Labeled bottles and containers showing intended use of the contents.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157.6</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157.8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481—941.14</w:t>
      </w:r>
      <w:r>
        <w:rPr>
          <w:rFonts w:ascii="Times New Roman" w:hAnsi="Times New Roman"/>
          <w:b/>
          <w:i w:val="false"/>
          <w:color w:val="000000"/>
          <w:sz w:val="22"/>
        </w:rPr>
        <w:t xml:space="preserve">(157) </w:t>
      </w:r>
      <w:r>
        <w:rPr>
          <w:rFonts w:ascii="Times New Roman" w:hAnsi="Times New Roman"/>
          <w:b/>
          <w:i w:val="false"/>
          <w:color w:val="000000"/>
          <w:sz w:val="22"/>
        </w:rPr>
        <w:t xml:space="preserve">Course of study requirements. </w:t>
      </w:r>
      <w:r>
        <w:rPr>
          <w:rFonts w:ascii="Times New Roman" w:hAnsi="Times New Roman"/>
          <w:b w:val="false"/>
          <w:i w:val="false"/>
          <w:color w:val="000000"/>
          <w:sz w:val="22"/>
        </w:rPr>
        <w:t>A school of barbering and cosmetology arts and sciences shall not be approved by the board of barbering and cosmetology arts and sciences unless it complies with the course of study requirements as provided below.</w:t>
      </w:r>
    </w:p>
    <w:p>
      <w:pPr>
        <w:spacing w:before="0" w:after="0"/>
        <w:ind w:left="120"/>
        <w:jc w:val="both"/>
      </w:pPr>
      <w:r>
        <w:rPr>
          <w:rFonts w:ascii="Times New Roman" w:hAnsi="Times New Roman"/>
          <w:b/>
          <w:i w:val="false"/>
          <w:color w:val="000000"/>
          <w:sz w:val="22"/>
        </w:rPr>
        <w:t>941.14(1)</w:t>
      </w:r>
      <w:r>
        <w:rPr>
          <w:rFonts w:ascii="Times New Roman" w:hAnsi="Times New Roman"/>
          <w:b w:val="false"/>
          <w:i w:val="false"/>
          <w:color w:val="000000"/>
          <w:sz w:val="22"/>
        </w:rPr>
        <w:t> </w:t>
      </w:r>
      <w:r>
        <w:rPr>
          <w:rFonts w:ascii="Times New Roman" w:hAnsi="Times New Roman"/>
          <w:b w:val="false"/>
          <w:i w:val="false"/>
          <w:color w:val="000000"/>
          <w:sz w:val="22"/>
        </w:rPr>
        <w:t>Requirements for hours.</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Barbering and cosmetology curriculum. </w:t>
      </w:r>
      <w:r>
        <w:rPr>
          <w:rFonts w:ascii="Times New Roman" w:hAnsi="Times New Roman"/>
          <w:b w:val="false"/>
          <w:i w:val="false"/>
          <w:color w:val="000000"/>
          <w:sz w:val="22"/>
        </w:rPr>
        <w:t xml:space="preserve">Supervised practical instruction, theory and demonstrations totaling 1,550 hours must include core life sciences hours and all practices within the scope of Iowa Code section </w:t>
      </w:r>
      <w:hyperlink r:id="rId36">
        <w:r>
          <w:rPr>
            <w:rStyle w:val="Hyperlink"/>
            <w:rFonts w:ascii="Times New Roman" w:hAnsi="Times New Roman"/>
            <w:b w:val="false"/>
            <w:i w:val="false"/>
            <w:color w:val="000000"/>
            <w:sz w:val="22"/>
          </w:rPr>
          <w:t>157.1(1)</w:t>
        </w:r>
      </w:hyperlink>
      <w:r>
        <w:rPr>
          <w:rFonts w:ascii="Times New Roman" w:hAnsi="Times New Roman"/>
          <w:b w:val="false"/>
          <w:i w:val="false"/>
          <w:color w:val="000000"/>
          <w:sz w:val="22"/>
        </w:rPr>
        <w:t>.</w:t>
      </w:r>
    </w:p>
    <w:tbl>
      <w:tblPr>
        <w:tblW w:w="0" w:type="auto"/>
        <w:tblCellSpacing w:w="0" w:type="auto"/>
        <w:tblBorders>
          <w:top w:val="none"/>
          <w:left w:val="none"/>
          <w:bottom w:val="none"/>
          <w:right w:val="none"/>
          <w:insideH w:val="none"/>
          <w:insideV w:val="none"/>
        </w:tblBorders>
        <w:tblLayout w:type="fixed"/>
      </w:tblPr>
      <w:tblGrid>
        <w:gridCol w:w="4123"/>
        <w:gridCol w:w="5228"/>
      </w:tblGrid>
      <w:tr>
        <w:trPr>
          <w:trHeight w:val="180" w:hRule="atLeast"/>
        </w:trPr>
        <w:tc>
          <w:tcPr>
            <w:tcW w:w="4123" w:type="dxa"/>
            <w:tcBorders/>
            <w:tcMar>
              <w:top w:w="30" w:type="dxa"/>
              <w:left w:w="30" w:type="dxa"/>
              <w:bottom w:w="15" w:type="dxa"/>
              <w:right w:w="30" w:type="dxa"/>
            </w:tcMar>
            <w:vAlign w:val="top"/>
          </w:tcPr>
          <w:p>
            <w:pPr>
              <w:spacing w:before="0" w:after="0" w:line="264"/>
              <w:ind w:left="275"/>
              <w:jc w:val="left"/>
            </w:pPr>
            <w:r>
              <w:rPr>
                <w:rFonts w:ascii="Times New Roman" w:hAnsi="Times New Roman"/>
                <w:b w:val="false"/>
                <w:i w:val="false"/>
                <w:color w:val="000000"/>
                <w:sz w:val="14"/>
              </w:rPr>
              <w:t>Core life sciences</w:t>
            </w:r>
          </w:p>
        </w:tc>
        <w:tc>
          <w:tcPr>
            <w:tcW w:w="522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 hours</w:t>
            </w:r>
          </w:p>
        </w:tc>
      </w:tr>
      <w:tr>
        <w:trPr>
          <w:trHeight w:val="495" w:hRule="atLeast"/>
        </w:trPr>
        <w:tc>
          <w:tcPr>
            <w:tcW w:w="4123" w:type="dxa"/>
            <w:tcBorders/>
            <w:tcMar>
              <w:top w:w="30" w:type="dxa"/>
              <w:left w:w="30" w:type="dxa"/>
              <w:bottom w:w="15" w:type="dxa"/>
              <w:right w:w="30" w:type="dxa"/>
            </w:tcMar>
            <w:vAlign w:val="top"/>
          </w:tcPr>
          <w:p>
            <w:pPr>
              <w:spacing w:before="0" w:after="0" w:line="264"/>
              <w:ind w:left="275"/>
              <w:jc w:val="left"/>
            </w:pPr>
            <w:r>
              <w:rPr>
                <w:rFonts w:ascii="Times New Roman" w:hAnsi="Times New Roman"/>
                <w:b w:val="false"/>
                <w:i w:val="false"/>
                <w:color w:val="000000"/>
                <w:sz w:val="14"/>
              </w:rPr>
              <w:t>Barbering and cosmetology theory (including business and management related to the practice of barbering and cosmetology)</w:t>
            </w:r>
          </w:p>
        </w:tc>
        <w:tc>
          <w:tcPr>
            <w:tcW w:w="522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440 hours</w:t>
            </w:r>
          </w:p>
        </w:tc>
      </w:tr>
      <w:tr>
        <w:trPr>
          <w:trHeight w:val="345" w:hRule="atLeast"/>
        </w:trPr>
        <w:tc>
          <w:tcPr>
            <w:tcW w:w="4123" w:type="dxa"/>
            <w:tcBorders/>
            <w:tcMar>
              <w:top w:w="30" w:type="dxa"/>
              <w:left w:w="30" w:type="dxa"/>
              <w:bottom w:w="15" w:type="dxa"/>
              <w:right w:w="30" w:type="dxa"/>
            </w:tcMar>
            <w:vAlign w:val="top"/>
          </w:tcPr>
          <w:p>
            <w:pPr>
              <w:spacing w:before="0" w:after="0" w:line="264"/>
              <w:ind w:left="275"/>
              <w:jc w:val="left"/>
            </w:pPr>
            <w:r>
              <w:rPr>
                <w:rFonts w:ascii="Times New Roman" w:hAnsi="Times New Roman"/>
                <w:b w:val="false"/>
                <w:i w:val="false"/>
                <w:color w:val="000000"/>
                <w:sz w:val="14"/>
              </w:rPr>
              <w:t xml:space="preserve">Total core life sciences and barbering and cosmetology theory: </w:t>
            </w:r>
          </w:p>
        </w:tc>
        <w:tc>
          <w:tcPr>
            <w:tcW w:w="522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590 hours</w:t>
            </w:r>
          </w:p>
        </w:tc>
      </w:tr>
      <w:tr>
        <w:trPr>
          <w:trHeight w:val="180" w:hRule="atLeast"/>
        </w:trPr>
        <w:tc>
          <w:tcPr>
            <w:tcW w:w="4123" w:type="dxa"/>
            <w:tcBorders/>
            <w:tcMar>
              <w:top w:w="30" w:type="dxa"/>
              <w:left w:w="30" w:type="dxa"/>
              <w:bottom w:w="15" w:type="dxa"/>
              <w:right w:w="30" w:type="dxa"/>
            </w:tcMar>
            <w:vAlign w:val="top"/>
          </w:tcPr>
          <w:p>
            <w:pPr>
              <w:spacing w:before="0" w:after="0" w:line="264"/>
              <w:ind w:left="275"/>
              <w:jc w:val="left"/>
            </w:pPr>
            <w:r>
              <w:rPr>
                <w:rFonts w:ascii="Times New Roman" w:hAnsi="Times New Roman"/>
                <w:b w:val="false"/>
                <w:i w:val="false"/>
                <w:color w:val="000000"/>
                <w:sz w:val="14"/>
              </w:rPr>
              <w:t>Applied practical instruction</w:t>
            </w:r>
          </w:p>
        </w:tc>
        <w:tc>
          <w:tcPr>
            <w:tcW w:w="522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960 hours</w:t>
            </w:r>
          </w:p>
        </w:tc>
      </w:tr>
      <w:tr>
        <w:trPr>
          <w:trHeight w:val="180" w:hRule="atLeast"/>
        </w:trPr>
        <w:tc>
          <w:tcPr>
            <w:tcW w:w="4123" w:type="dxa"/>
            <w:tcBorders/>
            <w:tcMar>
              <w:top w:w="30" w:type="dxa"/>
              <w:left w:w="30" w:type="dxa"/>
              <w:bottom w:w="15" w:type="dxa"/>
              <w:right w:w="30" w:type="dxa"/>
            </w:tcMar>
            <w:vAlign w:val="top"/>
          </w:tcPr>
          <w:p>
            <w:pPr>
              <w:spacing w:before="0" w:after="0" w:line="264"/>
              <w:ind w:left="275"/>
              <w:jc w:val="left"/>
            </w:pPr>
            <w:r>
              <w:rPr>
                <w:rFonts w:ascii="Times New Roman" w:hAnsi="Times New Roman"/>
                <w:b w:val="false"/>
                <w:i w:val="false"/>
                <w:color w:val="000000"/>
                <w:sz w:val="14"/>
              </w:rPr>
              <w:t>Total course of study</w:t>
            </w:r>
          </w:p>
        </w:tc>
        <w:tc>
          <w:tcPr>
            <w:tcW w:w="522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1550 hours (51 semester credit hours)</w:t>
            </w:r>
          </w:p>
        </w:tc>
      </w:tr>
    </w:tbl>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Electrology curriculum. </w:t>
      </w:r>
      <w:r>
        <w:rPr>
          <w:rFonts w:ascii="Times New Roman" w:hAnsi="Times New Roman"/>
          <w:b w:val="false"/>
          <w:i w:val="false"/>
          <w:color w:val="000000"/>
          <w:sz w:val="22"/>
        </w:rPr>
        <w:t xml:space="preserve">Supervised practical instruction, theory and demonstrations totaling 425 hours must include core life sciences hours and all practices within the scope of Iowa Code section </w:t>
      </w:r>
      <w:hyperlink r:id="rId37">
        <w:r>
          <w:rPr>
            <w:rStyle w:val="Hyperlink"/>
            <w:rFonts w:ascii="Times New Roman" w:hAnsi="Times New Roman"/>
            <w:b w:val="false"/>
            <w:i w:val="false"/>
            <w:color w:val="000000"/>
            <w:sz w:val="22"/>
          </w:rPr>
          <w:t>157.1(10)</w:t>
        </w:r>
      </w:hyperlink>
      <w:r>
        <w:rPr>
          <w:rFonts w:ascii="Times New Roman" w:hAnsi="Times New Roman"/>
          <w:b w:val="false"/>
          <w:i w:val="false"/>
          <w:color w:val="000000"/>
          <w:sz w:val="22"/>
        </w:rPr>
        <w:t>.</w:t>
      </w:r>
    </w:p>
    <w:tbl>
      <w:tblPr>
        <w:tblW w:w="0" w:type="auto"/>
        <w:tblCellSpacing w:w="0" w:type="auto"/>
        <w:tblBorders>
          <w:top w:val="none"/>
          <w:left w:val="none"/>
          <w:bottom w:val="none"/>
          <w:right w:val="none"/>
          <w:insideH w:val="none"/>
          <w:insideV w:val="none"/>
        </w:tblBorders>
        <w:tblLayout w:type="fixed"/>
      </w:tblPr>
      <w:tblGrid>
        <w:gridCol w:w="4655"/>
        <w:gridCol w:w="4297"/>
      </w:tblGrid>
      <w:tr>
        <w:trPr>
          <w:trHeight w:val="180" w:hRule="atLeast"/>
        </w:trPr>
        <w:tc>
          <w:tcPr>
            <w:tcW w:w="4655" w:type="dxa"/>
            <w:tcBorders/>
            <w:tcMar>
              <w:top w:w="30" w:type="dxa"/>
              <w:left w:w="30" w:type="dxa"/>
              <w:bottom w:w="15" w:type="dxa"/>
              <w:right w:w="30" w:type="dxa"/>
            </w:tcMar>
            <w:vAlign w:val="top"/>
          </w:tcPr>
          <w:p>
            <w:pPr>
              <w:spacing w:before="0" w:after="0" w:line="264"/>
              <w:ind w:left="275"/>
              <w:jc w:val="left"/>
            </w:pPr>
            <w:r>
              <w:rPr>
                <w:rFonts w:ascii="Times New Roman" w:hAnsi="Times New Roman"/>
                <w:b w:val="false"/>
                <w:i w:val="false"/>
                <w:color w:val="000000"/>
                <w:sz w:val="14"/>
              </w:rPr>
              <w:t>Core life sciences</w:t>
            </w:r>
          </w:p>
        </w:tc>
        <w:tc>
          <w:tcPr>
            <w:tcW w:w="429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 hours</w:t>
            </w:r>
          </w:p>
        </w:tc>
      </w:tr>
      <w:tr>
        <w:trPr>
          <w:trHeight w:val="180" w:hRule="atLeast"/>
        </w:trPr>
        <w:tc>
          <w:tcPr>
            <w:tcW w:w="4655" w:type="dxa"/>
            <w:tcBorders/>
            <w:tcMar>
              <w:top w:w="30" w:type="dxa"/>
              <w:left w:w="30" w:type="dxa"/>
              <w:bottom w:w="15" w:type="dxa"/>
              <w:right w:w="30" w:type="dxa"/>
            </w:tcMar>
            <w:vAlign w:val="top"/>
          </w:tcPr>
          <w:p>
            <w:pPr>
              <w:spacing w:before="0" w:after="0" w:line="264"/>
              <w:ind w:left="275"/>
              <w:jc w:val="left"/>
            </w:pPr>
            <w:r>
              <w:rPr>
                <w:rFonts w:ascii="Times New Roman" w:hAnsi="Times New Roman"/>
                <w:b w:val="false"/>
                <w:i w:val="false"/>
                <w:color w:val="000000"/>
                <w:sz w:val="14"/>
              </w:rPr>
              <w:t>Electrology theory</w:t>
            </w:r>
          </w:p>
        </w:tc>
        <w:tc>
          <w:tcPr>
            <w:tcW w:w="429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 hours</w:t>
            </w:r>
          </w:p>
        </w:tc>
      </w:tr>
      <w:tr>
        <w:trPr>
          <w:trHeight w:val="180" w:hRule="atLeast"/>
        </w:trPr>
        <w:tc>
          <w:tcPr>
            <w:tcW w:w="4655" w:type="dxa"/>
            <w:tcBorders/>
            <w:tcMar>
              <w:top w:w="30" w:type="dxa"/>
              <w:left w:w="30" w:type="dxa"/>
              <w:bottom w:w="15" w:type="dxa"/>
              <w:right w:w="30" w:type="dxa"/>
            </w:tcMar>
            <w:vAlign w:val="top"/>
          </w:tcPr>
          <w:p>
            <w:pPr>
              <w:spacing w:before="0" w:after="0" w:line="264"/>
              <w:ind w:left="275"/>
              <w:jc w:val="left"/>
            </w:pPr>
            <w:r>
              <w:rPr>
                <w:rFonts w:ascii="Times New Roman" w:hAnsi="Times New Roman"/>
                <w:b w:val="false"/>
                <w:i w:val="false"/>
                <w:color w:val="000000"/>
                <w:sz w:val="14"/>
              </w:rPr>
              <w:t>Applied practical instruction</w:t>
            </w:r>
          </w:p>
        </w:tc>
        <w:tc>
          <w:tcPr>
            <w:tcW w:w="429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225 hours</w:t>
            </w:r>
          </w:p>
        </w:tc>
      </w:tr>
      <w:tr>
        <w:trPr>
          <w:trHeight w:val="180" w:hRule="atLeast"/>
        </w:trPr>
        <w:tc>
          <w:tcPr>
            <w:tcW w:w="4655" w:type="dxa"/>
            <w:tcBorders/>
            <w:tcMar>
              <w:top w:w="30" w:type="dxa"/>
              <w:left w:w="30" w:type="dxa"/>
              <w:bottom w:w="15" w:type="dxa"/>
              <w:right w:w="30" w:type="dxa"/>
            </w:tcMar>
            <w:vAlign w:val="top"/>
          </w:tcPr>
          <w:p>
            <w:pPr>
              <w:spacing w:before="0" w:after="0" w:line="264"/>
              <w:ind w:left="275"/>
              <w:jc w:val="left"/>
            </w:pPr>
            <w:r>
              <w:rPr>
                <w:rFonts w:ascii="Times New Roman" w:hAnsi="Times New Roman"/>
                <w:b w:val="false"/>
                <w:i w:val="false"/>
                <w:color w:val="000000"/>
                <w:sz w:val="14"/>
              </w:rPr>
              <w:t>Total course of study</w:t>
            </w:r>
          </w:p>
        </w:tc>
        <w:tc>
          <w:tcPr>
            <w:tcW w:w="429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425 hours (14 semester credit hours)</w:t>
            </w:r>
          </w:p>
        </w:tc>
      </w:tr>
    </w:tbl>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Esthetics curriculum. </w:t>
      </w:r>
      <w:r>
        <w:rPr>
          <w:rFonts w:ascii="Times New Roman" w:hAnsi="Times New Roman"/>
          <w:b w:val="false"/>
          <w:i w:val="false"/>
          <w:color w:val="000000"/>
          <w:sz w:val="22"/>
        </w:rPr>
        <w:t xml:space="preserve">Supervised practical instruction, theory and demonstrations must include core life sciences hours and all practices within the scope of Iowa Code section </w:t>
      </w:r>
      <w:hyperlink r:id="rId38">
        <w:r>
          <w:rPr>
            <w:rStyle w:val="Hyperlink"/>
            <w:rFonts w:ascii="Times New Roman" w:hAnsi="Times New Roman"/>
            <w:b w:val="false"/>
            <w:i w:val="false"/>
            <w:color w:val="000000"/>
            <w:sz w:val="22"/>
          </w:rPr>
          <w:t>157.1(13)</w:t>
        </w:r>
      </w:hyperlink>
      <w:r>
        <w:rPr>
          <w:rFonts w:ascii="Times New Roman" w:hAnsi="Times New Roman"/>
          <w:b w:val="false"/>
          <w:i w:val="false"/>
          <w:color w:val="000000"/>
          <w:sz w:val="22"/>
        </w:rPr>
        <w:t>.</w:t>
      </w:r>
    </w:p>
    <w:tbl>
      <w:tblPr>
        <w:tblW w:w="0" w:type="auto"/>
        <w:tblCellSpacing w:w="0" w:type="auto"/>
        <w:tblBorders>
          <w:top w:val="none"/>
          <w:left w:val="none"/>
          <w:bottom w:val="none"/>
          <w:right w:val="none"/>
          <w:insideH w:val="none"/>
          <w:insideV w:val="none"/>
        </w:tblBorders>
        <w:tblLayout w:type="fixed"/>
      </w:tblPr>
      <w:tblGrid>
        <w:gridCol w:w="4655"/>
        <w:gridCol w:w="4297"/>
      </w:tblGrid>
      <w:tr>
        <w:trPr>
          <w:trHeight w:val="180" w:hRule="atLeast"/>
        </w:trPr>
        <w:tc>
          <w:tcPr>
            <w:tcW w:w="4655" w:type="dxa"/>
            <w:tcBorders/>
            <w:tcMar>
              <w:top w:w="30" w:type="dxa"/>
              <w:left w:w="30" w:type="dxa"/>
              <w:bottom w:w="15" w:type="dxa"/>
              <w:right w:w="30" w:type="dxa"/>
            </w:tcMar>
            <w:vAlign w:val="top"/>
          </w:tcPr>
          <w:p>
            <w:pPr>
              <w:spacing w:before="0" w:after="0" w:line="264"/>
              <w:ind w:left="275"/>
              <w:jc w:val="left"/>
            </w:pPr>
            <w:r>
              <w:rPr>
                <w:rFonts w:ascii="Times New Roman" w:hAnsi="Times New Roman"/>
                <w:b w:val="false"/>
                <w:i w:val="false"/>
                <w:color w:val="000000"/>
                <w:sz w:val="14"/>
              </w:rPr>
              <w:t>Core life sciences</w:t>
            </w:r>
          </w:p>
        </w:tc>
        <w:tc>
          <w:tcPr>
            <w:tcW w:w="429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 hours</w:t>
            </w:r>
          </w:p>
        </w:tc>
      </w:tr>
      <w:tr>
        <w:trPr>
          <w:trHeight w:val="300" w:hRule="atLeast"/>
        </w:trPr>
        <w:tc>
          <w:tcPr>
            <w:tcW w:w="4655" w:type="dxa"/>
            <w:tcBorders/>
            <w:tcMar>
              <w:top w:w="30" w:type="dxa"/>
              <w:left w:w="30" w:type="dxa"/>
              <w:bottom w:w="15" w:type="dxa"/>
              <w:right w:w="30" w:type="dxa"/>
            </w:tcMar>
            <w:vAlign w:val="top"/>
          </w:tcPr>
          <w:p>
            <w:pPr>
              <w:spacing w:before="0" w:after="0" w:line="264"/>
              <w:ind w:left="275"/>
              <w:jc w:val="left"/>
            </w:pPr>
            <w:r>
              <w:rPr>
                <w:rFonts w:ascii="Times New Roman" w:hAnsi="Times New Roman"/>
                <w:b w:val="false"/>
                <w:i w:val="false"/>
                <w:color w:val="000000"/>
                <w:sz w:val="14"/>
              </w:rPr>
              <w:t>Esthetics theory</w:t>
            </w:r>
          </w:p>
        </w:tc>
        <w:tc>
          <w:tcPr>
            <w:tcW w:w="429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115 hours</w:t>
            </w:r>
          </w:p>
        </w:tc>
      </w:tr>
      <w:tr>
        <w:trPr>
          <w:trHeight w:val="180" w:hRule="atLeast"/>
        </w:trPr>
        <w:tc>
          <w:tcPr>
            <w:tcW w:w="4655" w:type="dxa"/>
            <w:tcBorders/>
            <w:tcMar>
              <w:top w:w="30" w:type="dxa"/>
              <w:left w:w="30" w:type="dxa"/>
              <w:bottom w:w="15" w:type="dxa"/>
              <w:right w:w="30" w:type="dxa"/>
            </w:tcMar>
            <w:vAlign w:val="top"/>
          </w:tcPr>
          <w:p>
            <w:pPr>
              <w:spacing w:before="0" w:after="0" w:line="264"/>
              <w:ind w:left="275"/>
              <w:jc w:val="left"/>
            </w:pPr>
            <w:r>
              <w:rPr>
                <w:rFonts w:ascii="Times New Roman" w:hAnsi="Times New Roman"/>
                <w:b w:val="false"/>
                <w:i w:val="false"/>
                <w:color w:val="000000"/>
                <w:sz w:val="14"/>
              </w:rPr>
              <w:t>Applied practical instruction</w:t>
            </w:r>
          </w:p>
        </w:tc>
        <w:tc>
          <w:tcPr>
            <w:tcW w:w="429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335 hours</w:t>
            </w:r>
          </w:p>
        </w:tc>
      </w:tr>
      <w:tr>
        <w:trPr>
          <w:trHeight w:val="180" w:hRule="atLeast"/>
        </w:trPr>
        <w:tc>
          <w:tcPr>
            <w:tcW w:w="4655" w:type="dxa"/>
            <w:tcBorders/>
            <w:tcMar>
              <w:top w:w="30" w:type="dxa"/>
              <w:left w:w="30" w:type="dxa"/>
              <w:bottom w:w="15" w:type="dxa"/>
              <w:right w:w="30" w:type="dxa"/>
            </w:tcMar>
            <w:vAlign w:val="top"/>
          </w:tcPr>
          <w:p>
            <w:pPr>
              <w:spacing w:before="0" w:after="0" w:line="264"/>
              <w:ind w:left="275"/>
              <w:jc w:val="left"/>
            </w:pPr>
            <w:r>
              <w:rPr>
                <w:rFonts w:ascii="Times New Roman" w:hAnsi="Times New Roman"/>
                <w:b w:val="false"/>
                <w:i w:val="false"/>
                <w:color w:val="000000"/>
                <w:sz w:val="14"/>
              </w:rPr>
              <w:t>Total course of study</w:t>
            </w:r>
          </w:p>
        </w:tc>
        <w:tc>
          <w:tcPr>
            <w:tcW w:w="429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600 hours (20 semester credit hours)</w:t>
            </w:r>
          </w:p>
        </w:tc>
      </w:tr>
    </w:tbl>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Nail technology curriculum. </w:t>
      </w:r>
      <w:r>
        <w:rPr>
          <w:rFonts w:ascii="Times New Roman" w:hAnsi="Times New Roman"/>
          <w:b w:val="false"/>
          <w:i w:val="false"/>
          <w:color w:val="000000"/>
          <w:sz w:val="22"/>
        </w:rPr>
        <w:t xml:space="preserve">Supervised practical instruction, theory and demonstrations must include core life sciences hours and all practices within the scope of Iowa Code section </w:t>
      </w:r>
      <w:hyperlink r:id="rId39">
        <w:r>
          <w:rPr>
            <w:rStyle w:val="Hyperlink"/>
            <w:rFonts w:ascii="Times New Roman" w:hAnsi="Times New Roman"/>
            <w:b w:val="false"/>
            <w:i w:val="false"/>
            <w:color w:val="000000"/>
            <w:sz w:val="22"/>
          </w:rPr>
          <w:t>157.1(25)</w:t>
        </w:r>
      </w:hyperlink>
      <w:r>
        <w:rPr>
          <w:rFonts w:ascii="Times New Roman" w:hAnsi="Times New Roman"/>
          <w:b w:val="false"/>
          <w:i w:val="false"/>
          <w:color w:val="000000"/>
          <w:sz w:val="22"/>
        </w:rPr>
        <w:t>.</w:t>
      </w:r>
    </w:p>
    <w:tbl>
      <w:tblPr>
        <w:tblW w:w="0" w:type="auto"/>
        <w:tblCellSpacing w:w="0" w:type="auto"/>
        <w:tblBorders>
          <w:top w:val="none"/>
          <w:left w:val="none"/>
          <w:bottom w:val="none"/>
          <w:right w:val="none"/>
          <w:insideH w:val="none"/>
          <w:insideV w:val="none"/>
        </w:tblBorders>
        <w:tblLayout w:type="fixed"/>
      </w:tblPr>
      <w:tblGrid>
        <w:gridCol w:w="4655"/>
        <w:gridCol w:w="4297"/>
      </w:tblGrid>
      <w:tr>
        <w:trPr>
          <w:trHeight w:val="180" w:hRule="atLeast"/>
        </w:trPr>
        <w:tc>
          <w:tcPr>
            <w:tcW w:w="4655" w:type="dxa"/>
            <w:tcBorders/>
            <w:tcMar>
              <w:top w:w="30" w:type="dxa"/>
              <w:left w:w="30" w:type="dxa"/>
              <w:bottom w:w="15" w:type="dxa"/>
              <w:right w:w="30" w:type="dxa"/>
            </w:tcMar>
            <w:vAlign w:val="top"/>
          </w:tcPr>
          <w:p>
            <w:pPr>
              <w:spacing w:before="0" w:after="0" w:line="264"/>
              <w:ind w:left="275"/>
              <w:jc w:val="left"/>
            </w:pPr>
            <w:r>
              <w:rPr>
                <w:rFonts w:ascii="Times New Roman" w:hAnsi="Times New Roman"/>
                <w:b w:val="false"/>
                <w:i w:val="false"/>
                <w:color w:val="000000"/>
                <w:sz w:val="14"/>
              </w:rPr>
              <w:t>Core life sciences</w:t>
            </w:r>
          </w:p>
        </w:tc>
        <w:tc>
          <w:tcPr>
            <w:tcW w:w="429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 hours</w:t>
            </w:r>
          </w:p>
        </w:tc>
      </w:tr>
      <w:tr>
        <w:trPr>
          <w:trHeight w:val="180" w:hRule="atLeast"/>
        </w:trPr>
        <w:tc>
          <w:tcPr>
            <w:tcW w:w="4655" w:type="dxa"/>
            <w:tcBorders/>
            <w:tcMar>
              <w:top w:w="30" w:type="dxa"/>
              <w:left w:w="30" w:type="dxa"/>
              <w:bottom w:w="15" w:type="dxa"/>
              <w:right w:w="30" w:type="dxa"/>
            </w:tcMar>
            <w:vAlign w:val="top"/>
          </w:tcPr>
          <w:p>
            <w:pPr>
              <w:spacing w:before="0" w:after="0" w:line="264"/>
              <w:ind w:left="275"/>
              <w:jc w:val="left"/>
            </w:pPr>
            <w:r>
              <w:rPr>
                <w:rFonts w:ascii="Times New Roman" w:hAnsi="Times New Roman"/>
                <w:b w:val="false"/>
                <w:i w:val="false"/>
                <w:color w:val="000000"/>
                <w:sz w:val="14"/>
              </w:rPr>
              <w:t>Nail technology theory</w:t>
            </w:r>
          </w:p>
        </w:tc>
        <w:tc>
          <w:tcPr>
            <w:tcW w:w="429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 hours</w:t>
            </w:r>
          </w:p>
        </w:tc>
      </w:tr>
      <w:tr>
        <w:trPr>
          <w:trHeight w:val="180" w:hRule="atLeast"/>
        </w:trPr>
        <w:tc>
          <w:tcPr>
            <w:tcW w:w="4655" w:type="dxa"/>
            <w:tcBorders/>
            <w:tcMar>
              <w:top w:w="30" w:type="dxa"/>
              <w:left w:w="30" w:type="dxa"/>
              <w:bottom w:w="15" w:type="dxa"/>
              <w:right w:w="30" w:type="dxa"/>
            </w:tcMar>
            <w:vAlign w:val="top"/>
          </w:tcPr>
          <w:p>
            <w:pPr>
              <w:spacing w:before="0" w:after="0" w:line="264"/>
              <w:ind w:left="275"/>
              <w:jc w:val="left"/>
            </w:pPr>
            <w:r>
              <w:rPr>
                <w:rFonts w:ascii="Times New Roman" w:hAnsi="Times New Roman"/>
                <w:b w:val="false"/>
                <w:i w:val="false"/>
                <w:color w:val="000000"/>
                <w:sz w:val="14"/>
              </w:rPr>
              <w:t>Applied practical instruction</w:t>
            </w:r>
          </w:p>
        </w:tc>
        <w:tc>
          <w:tcPr>
            <w:tcW w:w="429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125 hours</w:t>
            </w:r>
          </w:p>
        </w:tc>
      </w:tr>
      <w:tr>
        <w:trPr>
          <w:trHeight w:val="180" w:hRule="atLeast"/>
        </w:trPr>
        <w:tc>
          <w:tcPr>
            <w:tcW w:w="4655" w:type="dxa"/>
            <w:tcBorders/>
            <w:tcMar>
              <w:top w:w="30" w:type="dxa"/>
              <w:left w:w="30" w:type="dxa"/>
              <w:bottom w:w="15" w:type="dxa"/>
              <w:right w:w="30" w:type="dxa"/>
            </w:tcMar>
            <w:vAlign w:val="top"/>
          </w:tcPr>
          <w:p>
            <w:pPr>
              <w:spacing w:before="0" w:after="0" w:line="264"/>
              <w:ind w:left="275"/>
              <w:jc w:val="left"/>
            </w:pPr>
            <w:r>
              <w:rPr>
                <w:rFonts w:ascii="Times New Roman" w:hAnsi="Times New Roman"/>
                <w:b w:val="false"/>
                <w:i w:val="false"/>
                <w:color w:val="000000"/>
                <w:sz w:val="14"/>
              </w:rPr>
              <w:t>Total course of study</w:t>
            </w:r>
          </w:p>
        </w:tc>
        <w:tc>
          <w:tcPr>
            <w:tcW w:w="429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325 hours (11 semester credit hours)</w:t>
            </w:r>
          </w:p>
        </w:tc>
      </w:tr>
    </w:tbl>
    <w:p>
      <w:pPr>
        <w:spacing w:before="0" w:after="0"/>
        <w:ind w:left="120"/>
        <w:jc w:val="both"/>
      </w:pPr>
      <w:r>
        <w:rPr>
          <w:rFonts w:ascii="Times New Roman" w:hAnsi="Times New Roman"/>
          <w:b w:val="false"/>
          <w:i w:val="false"/>
          <w:color w:val="000000"/>
          <w:sz w:val="22"/>
        </w:rPr>
        <w:t>Proof of curriculum requirements may be submitted to the board by either the clock hour or semester credit hour standard. Semester credit hours or the equivalent thereof shall be determined pursuant to administrative rules and regulations promulgated by the U.S.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941.14(2)</w:t>
      </w:r>
      <w:r>
        <w:rPr>
          <w:rFonts w:ascii="Times New Roman" w:hAnsi="Times New Roman"/>
          <w:b w:val="false"/>
          <w:i w:val="false"/>
          <w:color w:val="000000"/>
          <w:sz w:val="22"/>
        </w:rPr>
        <w:t> </w:t>
      </w:r>
      <w:r>
        <w:rPr>
          <w:rFonts w:ascii="Times New Roman" w:hAnsi="Times New Roman"/>
          <w:b w:val="false"/>
          <w:i w:val="false"/>
          <w:color w:val="000000"/>
          <w:sz w:val="22"/>
        </w:rPr>
        <w:t>Curriculum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Theory instruction shall be taught from a standard approved textbook but may be supplemented by other related textbooks. Online coursework is allowed for theory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Course subjects taught in the school curriculum, including skills and business management, shall relate to the specific practice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Required hours for theory and applied practical hours do not have to be obtained from one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Core life sciences curriculum hours shall be transferable in their entirety from one practice discipline to another practice discipline. Online coursework is allowed for core life sciences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Clock hours may be converted to credit hours using a standard, recognized method of conversion. Only hours from accredited or board-approved school programs will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941.14(3)</w:t>
      </w:r>
      <w:r>
        <w:rPr>
          <w:rFonts w:ascii="Times New Roman" w:hAnsi="Times New Roman"/>
          <w:b w:val="false"/>
          <w:i w:val="false"/>
          <w:color w:val="000000"/>
          <w:sz w:val="22"/>
        </w:rPr>
        <w:t> </w:t>
      </w:r>
      <w:r>
        <w:rPr>
          <w:rFonts w:ascii="Times New Roman" w:hAnsi="Times New Roman"/>
          <w:b w:val="false"/>
          <w:i w:val="false"/>
          <w:color w:val="000000"/>
          <w:sz w:val="22"/>
        </w:rPr>
        <w:t>Core life sciences curriculum. The core life sciences curriculum shall contain the following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Human anatomy and physiology: </w:t>
      </w:r>
    </w:p>
    <w:p>
      <w:pPr>
        <w:spacing w:before="0" w:after="0"/>
        <w:ind w:left="120"/>
        <w:jc w:val="both"/>
      </w:pPr>
      <w:r>
        <w:rPr>
          <w:rFonts w:ascii="Times New Roman" w:hAnsi="Times New Roman"/>
          <w:b w:val="false"/>
          <w:i w:val="false"/>
          <w:color w:val="000000"/>
          <w:sz w:val="22"/>
        </w:rPr>
        <w:t xml:space="preserve">Cell, metabolism and body systems, </w:t>
      </w:r>
    </w:p>
    <w:p>
      <w:pPr>
        <w:spacing w:before="0" w:after="0"/>
        <w:ind w:left="120"/>
        <w:jc w:val="both"/>
      </w:pPr>
      <w:r>
        <w:rPr>
          <w:rFonts w:ascii="Times New Roman" w:hAnsi="Times New Roman"/>
          <w:b w:val="false"/>
          <w:i w:val="false"/>
          <w:color w:val="000000"/>
          <w:sz w:val="22"/>
        </w:rPr>
        <w:t>Human anatomy;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Bacteriology;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Infection control practices: </w:t>
      </w:r>
    </w:p>
    <w:p>
      <w:pPr>
        <w:spacing w:before="0" w:after="0"/>
        <w:ind w:left="120"/>
        <w:jc w:val="both"/>
      </w:pPr>
      <w:r>
        <w:rPr>
          <w:rFonts w:ascii="Times New Roman" w:hAnsi="Times New Roman"/>
          <w:b w:val="false"/>
          <w:i w:val="false"/>
          <w:color w:val="000000"/>
          <w:sz w:val="22"/>
        </w:rPr>
        <w:t xml:space="preserve">Universal precautions, </w:t>
      </w:r>
    </w:p>
    <w:p>
      <w:pPr>
        <w:spacing w:before="0" w:after="0"/>
        <w:ind w:left="120"/>
        <w:jc w:val="both"/>
      </w:pPr>
      <w:r>
        <w:rPr>
          <w:rFonts w:ascii="Times New Roman" w:hAnsi="Times New Roman"/>
          <w:b w:val="false"/>
          <w:i w:val="false"/>
          <w:color w:val="000000"/>
          <w:sz w:val="22"/>
        </w:rPr>
        <w:t>Sanitation,</w:t>
      </w:r>
    </w:p>
    <w:p>
      <w:pPr>
        <w:spacing w:before="0" w:after="0"/>
        <w:ind w:left="120"/>
        <w:jc w:val="both"/>
      </w:pPr>
      <w:r>
        <w:rPr>
          <w:rFonts w:ascii="Times New Roman" w:hAnsi="Times New Roman"/>
          <w:b w:val="false"/>
          <w:i w:val="false"/>
          <w:color w:val="000000"/>
          <w:sz w:val="22"/>
        </w:rPr>
        <w:t>Sterilization,</w:t>
      </w:r>
    </w:p>
    <w:p>
      <w:pPr>
        <w:spacing w:before="0" w:after="0"/>
        <w:ind w:left="120"/>
        <w:jc w:val="both"/>
      </w:pPr>
      <w:r>
        <w:rPr>
          <w:rFonts w:ascii="Times New Roman" w:hAnsi="Times New Roman"/>
          <w:b w:val="false"/>
          <w:i w:val="false"/>
          <w:color w:val="000000"/>
          <w:sz w:val="22"/>
        </w:rPr>
        <w:t>Disinfection;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Basic chemistry;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Elements:</w:t>
      </w:r>
    </w:p>
    <w:p>
      <w:pPr>
        <w:spacing w:before="0" w:after="0"/>
        <w:ind w:left="120"/>
        <w:jc w:val="both"/>
      </w:pPr>
      <w:r>
        <w:rPr>
          <w:rFonts w:ascii="Times New Roman" w:hAnsi="Times New Roman"/>
          <w:b w:val="false"/>
          <w:i w:val="false"/>
          <w:color w:val="000000"/>
          <w:sz w:val="22"/>
        </w:rPr>
        <w:t>Compounds and mixtures;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Basic electricity;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Electrical measurements: </w:t>
      </w:r>
    </w:p>
    <w:p>
      <w:pPr>
        <w:spacing w:before="0" w:after="0"/>
        <w:ind w:left="120"/>
        <w:jc w:val="both"/>
      </w:pPr>
      <w:r>
        <w:rPr>
          <w:rFonts w:ascii="Times New Roman" w:hAnsi="Times New Roman"/>
          <w:b w:val="false"/>
          <w:i w:val="false"/>
          <w:color w:val="000000"/>
          <w:sz w:val="22"/>
        </w:rPr>
        <w:t>Reproduction of light rays,</w:t>
      </w:r>
    </w:p>
    <w:p>
      <w:pPr>
        <w:spacing w:before="0" w:after="0"/>
        <w:ind w:left="120"/>
        <w:jc w:val="both"/>
      </w:pPr>
      <w:r>
        <w:rPr>
          <w:rFonts w:ascii="Times New Roman" w:hAnsi="Times New Roman"/>
          <w:b w:val="false"/>
          <w:i w:val="false"/>
          <w:color w:val="000000"/>
          <w:sz w:val="22"/>
        </w:rPr>
        <w:t>Infrared rays,</w:t>
      </w:r>
    </w:p>
    <w:p>
      <w:pPr>
        <w:spacing w:before="0" w:after="0"/>
        <w:ind w:left="120"/>
        <w:jc w:val="both"/>
      </w:pPr>
      <w:r>
        <w:rPr>
          <w:rFonts w:ascii="Times New Roman" w:hAnsi="Times New Roman"/>
          <w:b w:val="false"/>
          <w:i w:val="false"/>
          <w:color w:val="000000"/>
          <w:sz w:val="22"/>
        </w:rPr>
        <w:t xml:space="preserve">Ultraviolet rays, </w:t>
      </w:r>
    </w:p>
    <w:p>
      <w:pPr>
        <w:spacing w:before="0" w:after="0"/>
        <w:ind w:left="120"/>
        <w:jc w:val="both"/>
      </w:pPr>
      <w:r>
        <w:rPr>
          <w:rFonts w:ascii="Times New Roman" w:hAnsi="Times New Roman"/>
          <w:b w:val="false"/>
          <w:i w:val="false"/>
          <w:color w:val="000000"/>
          <w:sz w:val="22"/>
        </w:rPr>
        <w:t>Visible rays/spectrum;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Hygiene and grooming:</w:t>
      </w:r>
    </w:p>
    <w:p>
      <w:pPr>
        <w:spacing w:before="0" w:after="0"/>
        <w:ind w:left="120"/>
        <w:jc w:val="both"/>
      </w:pPr>
      <w:r>
        <w:rPr>
          <w:rFonts w:ascii="Times New Roman" w:hAnsi="Times New Roman"/>
          <w:b w:val="false"/>
          <w:i w:val="false"/>
          <w:color w:val="000000"/>
          <w:sz w:val="22"/>
        </w:rPr>
        <w:t>Personal and professional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Professional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Public relations;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State and federal law, administrative rules and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941.14(4)</w:t>
      </w:r>
      <w:r>
        <w:rPr>
          <w:rFonts w:ascii="Times New Roman" w:hAnsi="Times New Roman"/>
          <w:b w:val="false"/>
          <w:i w:val="false"/>
          <w:color w:val="000000"/>
          <w:sz w:val="22"/>
        </w:rPr>
        <w:t> </w:t>
      </w:r>
      <w:r>
        <w:rPr>
          <w:rFonts w:ascii="Times New Roman" w:hAnsi="Times New Roman"/>
          <w:b w:val="false"/>
          <w:i w:val="false"/>
          <w:color w:val="000000"/>
          <w:sz w:val="22"/>
        </w:rPr>
        <w:t>The school shall maintain a copy of the curriculum plan as directed by the school’s accrediting agency or, if not subject to an accrediting agency, for a minimum of three years after the curriculum plan was taught by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941.14(5)</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initially licensed after July 1, 2024, must offer a curriculum and course of study for one or more practice disciplines as prescribed in subrules </w:t>
      </w:r>
      <w:hyperlink r:id="rId40">
        <w:r>
          <w:rPr>
            <w:rStyle w:val="Hyperlink"/>
            <w:rFonts w:ascii="Times New Roman" w:hAnsi="Times New Roman"/>
            <w:b w:val="false"/>
            <w:i w:val="false"/>
            <w:color w:val="000000"/>
            <w:sz w:val="22"/>
          </w:rPr>
          <w:t>941.14(1) through 941.14(3)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941.14(6)</w:t>
      </w:r>
      <w:r>
        <w:rPr>
          <w:rFonts w:ascii="Times New Roman" w:hAnsi="Times New Roman"/>
          <w:b w:val="false"/>
          <w:i w:val="false"/>
          <w:color w:val="000000"/>
          <w:sz w:val="22"/>
        </w:rPr>
        <w:t> </w:t>
      </w:r>
      <w:r>
        <w:rPr>
          <w:rFonts w:ascii="Times New Roman" w:hAnsi="Times New Roman"/>
          <w:b w:val="false"/>
          <w:i w:val="false"/>
          <w:color w:val="000000"/>
          <w:sz w:val="22"/>
        </w:rPr>
        <w:t>For a school licensed prior to July 1, 2024, the following provisions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Students enrolling in the school on or after August 1, 2024, must be taught a curriculum and course of study for one or more practice disciplines as prescribed by subrules </w:t>
      </w:r>
      <w:hyperlink r:id="rId41">
        <w:r>
          <w:rPr>
            <w:rStyle w:val="Hyperlink"/>
            <w:rFonts w:ascii="Times New Roman" w:hAnsi="Times New Roman"/>
            <w:b w:val="false"/>
            <w:i w:val="false"/>
            <w:color w:val="000000"/>
            <w:sz w:val="22"/>
          </w:rPr>
          <w:t>941.14(1) through 941.14(3)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Students enrolling in the school prior to August 1, 2024, may either be taught: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curriculum and course of study for one or more practice disciplines as prescribed by subrules </w:t>
      </w:r>
      <w:hyperlink r:id="rId42">
        <w:r>
          <w:rPr>
            <w:rStyle w:val="Hyperlink"/>
            <w:rFonts w:ascii="Times New Roman" w:hAnsi="Times New Roman"/>
            <w:b w:val="false"/>
            <w:i w:val="false"/>
            <w:color w:val="000000"/>
            <w:sz w:val="22"/>
          </w:rPr>
          <w:t>941.14(1) through 941.14(3)</w:t>
        </w:r>
      </w:hyperlink>
      <w:r>
        <w:rPr>
          <w:rFonts w:ascii="Times New Roman" w:hAnsi="Times New Roman"/>
          <w:b w:val="false"/>
          <w:i w:val="false"/>
          <w:color w:val="000000"/>
          <w:sz w:val="22"/>
        </w:rPr>
        <w:t xml:space="preserv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legacy curriculum in one or more practice disciplines. Any student graduating from a school after completing a legacy curriculum pursuant to this subrule will satisfy the education requirement for licensure as provided in </w:t>
      </w:r>
      <w:hyperlink r:id="rId43">
        <w:r>
          <w:rPr>
            <w:rStyle w:val="Hyperlink"/>
            <w:rFonts w:ascii="Times New Roman" w:hAnsi="Times New Roman"/>
            <w:b w:val="false"/>
            <w:i w:val="false"/>
            <w:color w:val="000000"/>
            <w:sz w:val="22"/>
          </w:rPr>
          <w:t>481—subparagraph 940.2(1)</w:t>
        </w:r>
      </w:hyperlink>
      <w:r>
        <w:rPr>
          <w:rFonts w:ascii="Times New Roman" w:hAnsi="Times New Roman"/>
          <w:b w:val="false"/>
          <w:i/>
          <w:color w:val="000000"/>
          <w:sz w:val="22"/>
        </w:rPr>
        <w:t>“c”</w:t>
      </w:r>
      <w:r>
        <w:rPr>
          <w:rFonts w:ascii="Times New Roman" w:hAnsi="Times New Roman"/>
          <w:b w:val="false"/>
          <w:i w:val="false"/>
          <w:color w:val="000000"/>
          <w:sz w:val="22"/>
        </w:rPr>
        <w:t>(1).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481—941.15</w:t>
      </w:r>
      <w:r>
        <w:rPr>
          <w:rFonts w:ascii="Times New Roman" w:hAnsi="Times New Roman"/>
          <w:b/>
          <w:i w:val="false"/>
          <w:color w:val="000000"/>
          <w:sz w:val="22"/>
        </w:rPr>
        <w:t xml:space="preserve">(157) </w:t>
      </w:r>
      <w:r>
        <w:rPr>
          <w:rFonts w:ascii="Times New Roman" w:hAnsi="Times New Roman"/>
          <w:b/>
          <w:i w:val="false"/>
          <w:color w:val="000000"/>
          <w:sz w:val="22"/>
        </w:rPr>
        <w:t xml:space="preserve">Instructors. </w:t>
      </w:r>
      <w:r>
        <w:rPr>
          <w:rFonts w:ascii="Times New Roman" w:hAnsi="Times New Roman"/>
          <w:b w:val="false"/>
          <w:i w:val="false"/>
          <w:color w:val="000000"/>
          <w:sz w:val="22"/>
        </w:rPr>
        <w:t>All instructors in a school of barbering and cosmetology arts and sciences shall be licensed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941.15(1)</w:t>
      </w:r>
      <w:r>
        <w:rPr>
          <w:rFonts w:ascii="Times New Roman" w:hAnsi="Times New Roman"/>
          <w:b w:val="false"/>
          <w:i w:val="false"/>
          <w:color w:val="000000"/>
          <w:sz w:val="22"/>
        </w:rPr>
        <w:t> </w:t>
      </w:r>
      <w:r>
        <w:rPr>
          <w:rFonts w:ascii="Times New Roman" w:hAnsi="Times New Roman"/>
          <w:b w:val="false"/>
          <w:i w:val="false"/>
          <w:color w:val="000000"/>
          <w:sz w:val="22"/>
        </w:rPr>
        <w:t>An instructor teaching a course in electrology, esthetics or nail technology shall also hold a license in that practice discipline or hold a barbering and cosmetology license that shows proof of having completed training in those practices equivalent to that of a license holder in that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941.15(2)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instructor teaching a course in shaving, microdermabrasion, chemical peels, intense pulsed lights (IPLs) and lasers shall be certified by the state of Iowa to provide each of the services, as set forth in rule </w:t>
      </w:r>
      <w:hyperlink r:id="rId44">
        <w:r>
          <w:rPr>
            <w:rStyle w:val="Hyperlink"/>
            <w:rFonts w:ascii="Times New Roman" w:hAnsi="Times New Roman"/>
            <w:b w:val="false"/>
            <w:i w:val="false"/>
            <w:color w:val="000000"/>
            <w:sz w:val="22"/>
          </w:rPr>
          <w:t>481—940.4</w:t>
        </w:r>
      </w:hyperlink>
      <w:r>
        <w:rPr>
          <w:rFonts w:ascii="Times New Roman" w:hAnsi="Times New Roman"/>
          <w:b w:val="false"/>
          <w:i w:val="false"/>
          <w:color w:val="000000"/>
          <w:sz w:val="22"/>
        </w:rPr>
        <w:t>(157). An individual who was licensed as an Iowa barber prior to July 1, 2023, is not required to hold an Iowa board-issued shaving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941.15(3)</w:t>
      </w:r>
      <w:r>
        <w:rPr>
          <w:rFonts w:ascii="Times New Roman" w:hAnsi="Times New Roman"/>
          <w:b w:val="false"/>
          <w:i w:val="false"/>
          <w:color w:val="000000"/>
          <w:sz w:val="22"/>
        </w:rPr>
        <w:t> </w:t>
      </w:r>
      <w:r>
        <w:rPr>
          <w:rFonts w:ascii="Times New Roman" w:hAnsi="Times New Roman"/>
          <w:b w:val="false"/>
          <w:i w:val="false"/>
          <w:color w:val="000000"/>
          <w:sz w:val="22"/>
        </w:rPr>
        <w:t>A minimum of two instructors shall be employed on a full-time basis for up to 30 students and an additional instructor for each additional 15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of instructors for each school of barbering and cosmetology arts and sciences shall be based upon total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student instructor shall not be used to meet licensed instructor-to-student ratios.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school with less than 30 students enrolled may have one licensed instructor on site in the school if offering only clinic services or only theory instruction in a single classroom and less than 15 students are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school is offering clinic services and theory instruction simultaneously to less than 15 students, at least two licensed instructors must be 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Area community colleges operating a school prior to September 1, 1982, with only one instructor per 15 students are not subject to this subrule and may continue to operate with the ratio of one instructor to 15 students. A student instructor shall not be used to meet licensed instructor-to-student ratios.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941.15(4)</w:t>
      </w:r>
      <w:r>
        <w:rPr>
          <w:rFonts w:ascii="Times New Roman" w:hAnsi="Times New Roman"/>
          <w:b w:val="false"/>
          <w:i w:val="false"/>
          <w:color w:val="000000"/>
          <w:sz w:val="22"/>
        </w:rPr>
        <w:t> </w:t>
      </w:r>
      <w:r>
        <w:rPr>
          <w:rFonts w:ascii="Times New Roman" w:hAnsi="Times New Roman"/>
          <w:b w:val="false"/>
          <w:i w:val="false"/>
          <w:color w:val="000000"/>
          <w:sz w:val="22"/>
        </w:rPr>
        <w:t>An instructor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responsible for and in direct charge of all physical and virtual core and theory classrooms and practical classrooms and clinics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Familiarize students with the different standard supplies and equipment used in establishments;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 perform barbering and cosmetology arts and sciences services, with or without compensation, on the school premises except for demonstration purposes, such as continuing education classes consistent with rule </w:t>
      </w:r>
      <w:hyperlink r:id="rId45">
        <w:r>
          <w:rPr>
            <w:rStyle w:val="Hyperlink"/>
            <w:rFonts w:ascii="Times New Roman" w:hAnsi="Times New Roman"/>
            <w:b w:val="false"/>
            <w:i w:val="false"/>
            <w:color w:val="000000"/>
            <w:sz w:val="22"/>
          </w:rPr>
          <w:t>481—941.23</w:t>
        </w:r>
      </w:hyperlink>
      <w:r>
        <w:rPr>
          <w:rFonts w:ascii="Times New Roman" w:hAnsi="Times New Roman"/>
          <w:b w:val="false"/>
          <w:i w:val="false"/>
          <w:color w:val="000000"/>
          <w:sz w:val="22"/>
        </w:rPr>
        <w:t>(157).</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6">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481—941.16</w:t>
      </w:r>
      <w:r>
        <w:rPr>
          <w:rFonts w:ascii="Times New Roman" w:hAnsi="Times New Roman"/>
          <w:b/>
          <w:i w:val="false"/>
          <w:color w:val="000000"/>
          <w:sz w:val="22"/>
        </w:rPr>
        <w:t xml:space="preserve">(157) </w:t>
      </w:r>
      <w:r>
        <w:rPr>
          <w:rFonts w:ascii="Times New Roman" w:hAnsi="Times New Roman"/>
          <w:b/>
          <w:i w:val="false"/>
          <w:color w:val="000000"/>
          <w:sz w:val="22"/>
        </w:rPr>
        <w:t xml:space="preserve">Student instructors. </w:t>
      </w:r>
      <w:r>
        <w:rPr>
          <w:rFonts w:ascii="Times New Roman" w:hAnsi="Times New Roman"/>
          <w:b w:val="false"/>
          <w:i w:val="false"/>
          <w:color w:val="000000"/>
          <w:sz w:val="22"/>
        </w:rPr>
        <w:t>A student instructor shall be a license holder in the barbering and cosmetology arts and sciences. Each student instructor shall be under the direct supervision of a licensed instructor at all times.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481—941.17</w:t>
      </w:r>
      <w:r>
        <w:rPr>
          <w:rFonts w:ascii="Times New Roman" w:hAnsi="Times New Roman"/>
          <w:b/>
          <w:i w:val="false"/>
          <w:color w:val="000000"/>
          <w:sz w:val="22"/>
        </w:rPr>
        <w:t xml:space="preserve">(157) </w:t>
      </w:r>
      <w:r>
        <w:rPr>
          <w:rFonts w:ascii="Times New Roman" w:hAnsi="Times New Roman"/>
          <w:b/>
          <w:i w:val="false"/>
          <w:color w:val="000000"/>
          <w:sz w:val="22"/>
        </w:rPr>
        <w:t xml:space="preserve">Students.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941.17(1)</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of barbering and cosmetology arts and sciences shall, prior to the time a student is obligated for payment, inform the student of all provisions set forth in Iowa Code section </w:t>
      </w:r>
      <w:hyperlink r:id="rId47">
        <w:r>
          <w:rPr>
            <w:rStyle w:val="Hyperlink"/>
            <w:rFonts w:ascii="Times New Roman" w:hAnsi="Times New Roman"/>
            <w:b w:val="false"/>
            <w:i w:val="false"/>
            <w:color w:val="000000"/>
            <w:sz w:val="22"/>
          </w:rPr>
          <w:t>714.25</w:t>
        </w:r>
      </w:hyperlink>
      <w:r>
        <w:rPr>
          <w:rFonts w:ascii="Times New Roman" w:hAnsi="Times New Roman"/>
          <w:b w:val="false"/>
          <w:i w:val="false"/>
          <w:color w:val="000000"/>
          <w:sz w:val="22"/>
        </w:rPr>
        <w:t>. The school shall retain a copy of the signed statement for two years following the student’s graduating or leaving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941.17(2)</w:t>
      </w:r>
      <w:r>
        <w:rPr>
          <w:rFonts w:ascii="Times New Roman" w:hAnsi="Times New Roman"/>
          <w:b w:val="false"/>
          <w:i w:val="false"/>
          <w:color w:val="000000"/>
          <w:sz w:val="22"/>
        </w:rPr>
        <w:t> </w:t>
      </w:r>
      <w:r>
        <w:rPr>
          <w:rFonts w:ascii="Times New Roman" w:hAnsi="Times New Roman"/>
          <w:b w:val="false"/>
          <w:i w:val="false"/>
          <w:color w:val="000000"/>
          <w:sz w:val="22"/>
        </w:rPr>
        <w:t>Students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Wear clean and neat uniforms at all times during school hours and during the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supervised by a licensed instructor at all times except in a mentoring program when the students shall be under the guidance of a mentor;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provided regularly scheduled breaks and a minimum of 30 minutes for lunch;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Attend school no more than eight hours a day. Schools may offer additional hours to students who submit a written request for additional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Receive no compensation from the school for services performed on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services to the public only after completion of a minimum of 10 percent of the course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 be called from theory class to provide services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Not be required to perform janitorial services or be allowed to volunteer for such services. Sanitation of the bathroom area shall be limited to replacing products and disinfecting the vanity and mirror surfaces. Sanitation of the toilet and bathroom floor areas is not to be performed by the student and is excluded from student sanitation duty;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Receive no credit or hours for decorating for marketing or merchandising events or for participating in demonstrations of barbering and cosmetology arts and sciences when the sole purpose of the event is to recruit students and the event is outside the curriculum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481—941.18</w:t>
      </w:r>
      <w:r>
        <w:rPr>
          <w:rFonts w:ascii="Times New Roman" w:hAnsi="Times New Roman"/>
          <w:b/>
          <w:i w:val="false"/>
          <w:color w:val="000000"/>
          <w:sz w:val="22"/>
        </w:rPr>
        <w:t xml:space="preserve">(157) </w:t>
      </w:r>
      <w:r>
        <w:rPr>
          <w:rFonts w:ascii="Times New Roman" w:hAnsi="Times New Roman"/>
          <w:b/>
          <w:i w:val="false"/>
          <w:color w:val="000000"/>
          <w:sz w:val="22"/>
        </w:rPr>
        <w:t xml:space="preserve">Attendance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941.18(1)</w:t>
      </w:r>
      <w:r>
        <w:rPr>
          <w:rFonts w:ascii="Times New Roman" w:hAnsi="Times New Roman"/>
          <w:b w:val="false"/>
          <w:i w:val="false"/>
          <w:color w:val="000000"/>
          <w:sz w:val="22"/>
        </w:rPr>
        <w:t> </w:t>
      </w:r>
      <w:r>
        <w:rPr>
          <w:rFonts w:ascii="Times New Roman" w:hAnsi="Times New Roman"/>
          <w:b w:val="false"/>
          <w:i w:val="false"/>
          <w:color w:val="000000"/>
          <w:sz w:val="22"/>
        </w:rPr>
        <w:t>A school of barbering and cosmetology arts and sciences shall have a written, published attendance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941.18(2)</w:t>
      </w:r>
      <w:r>
        <w:rPr>
          <w:rFonts w:ascii="Times New Roman" w:hAnsi="Times New Roman"/>
          <w:b w:val="false"/>
          <w:i w:val="false"/>
          <w:color w:val="000000"/>
          <w:sz w:val="22"/>
        </w:rPr>
        <w:t> </w:t>
      </w:r>
      <w:r>
        <w:rPr>
          <w:rFonts w:ascii="Times New Roman" w:hAnsi="Times New Roman"/>
          <w:b w:val="false"/>
          <w:i w:val="false"/>
          <w:color w:val="000000"/>
          <w:sz w:val="22"/>
        </w:rPr>
        <w:t>Schools shall 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Students complete the hours required for each course of study set forth in rule </w:t>
      </w:r>
      <w:hyperlink r:id="rId48">
        <w:r>
          <w:rPr>
            <w:rStyle w:val="Hyperlink"/>
            <w:rFonts w:ascii="Times New Roman" w:hAnsi="Times New Roman"/>
            <w:b w:val="false"/>
            <w:i w:val="false"/>
            <w:color w:val="000000"/>
            <w:sz w:val="22"/>
          </w:rPr>
          <w:t>481—941.14</w:t>
        </w:r>
      </w:hyperlink>
      <w:r>
        <w:rPr>
          <w:rFonts w:ascii="Times New Roman" w:hAnsi="Times New Roman"/>
          <w:b w:val="false"/>
          <w:i w:val="false"/>
          <w:color w:val="000000"/>
          <w:sz w:val="22"/>
        </w:rPr>
        <w:t>(157).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Student attendance policies are applied uniformly and fairly for all physical and virtual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Appropriate credit is given for all hours earned.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retake tests and projects to be redone are completed without benefit of additional hours earned. Time scheduled for such work will be scheduled at the school’s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Hours or credit is not added to the cumulative student record as an award or deducted from the cumulative student record as a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Work that must be done for missed hours must be allowed. The student must be given full credit for hours earned.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941.18(3)</w:t>
      </w:r>
      <w:r>
        <w:rPr>
          <w:rFonts w:ascii="Times New Roman" w:hAnsi="Times New Roman"/>
          <w:b w:val="false"/>
          <w:i w:val="false"/>
          <w:color w:val="000000"/>
          <w:sz w:val="22"/>
        </w:rPr>
        <w:t> </w:t>
      </w:r>
      <w:r>
        <w:rPr>
          <w:rFonts w:ascii="Times New Roman" w:hAnsi="Times New Roman"/>
          <w:b w:val="false"/>
          <w:i w:val="false"/>
          <w:color w:val="000000"/>
          <w:sz w:val="22"/>
        </w:rPr>
        <w:t>Pursuant to the federal Department of Education and accrediting standards agency, the school may adopt an absence policy not to exceed 10 percent of required coursework for doctor’s excuses and life events. In no way shall this policy create a penalty for the student nor excuse the student from the remaining 10 percent of required coursework.</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9">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481—941.19</w:t>
      </w:r>
      <w:r>
        <w:rPr>
          <w:rFonts w:ascii="Times New Roman" w:hAnsi="Times New Roman"/>
          <w:b/>
          <w:i w:val="false"/>
          <w:color w:val="000000"/>
          <w:sz w:val="22"/>
        </w:rPr>
        <w:t xml:space="preserve">(157) </w:t>
      </w:r>
      <w:r>
        <w:rPr>
          <w:rFonts w:ascii="Times New Roman" w:hAnsi="Times New Roman"/>
          <w:b/>
          <w:i w:val="false"/>
          <w:color w:val="000000"/>
          <w:sz w:val="22"/>
        </w:rPr>
        <w:t xml:space="preserve">Accelerated learning.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941.19(1)</w:t>
      </w:r>
      <w:r>
        <w:rPr>
          <w:rFonts w:ascii="Times New Roman" w:hAnsi="Times New Roman"/>
          <w:b w:val="false"/>
          <w:i w:val="false"/>
          <w:color w:val="000000"/>
          <w:sz w:val="22"/>
        </w:rPr>
        <w:t> </w:t>
      </w:r>
      <w:r>
        <w:rPr>
          <w:rFonts w:ascii="Times New Roman" w:hAnsi="Times New Roman"/>
          <w:b w:val="false"/>
          <w:i w:val="false"/>
          <w:color w:val="000000"/>
          <w:sz w:val="22"/>
        </w:rPr>
        <w:t>A school may adopt an accelerated learning policy that includes the acceptance of life experience, prior knowledge learned and test-out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941.19(2)</w:t>
      </w:r>
      <w:r>
        <w:rPr>
          <w:rFonts w:ascii="Times New Roman" w:hAnsi="Times New Roman"/>
          <w:b w:val="false"/>
          <w:i w:val="false"/>
          <w:color w:val="000000"/>
          <w:sz w:val="22"/>
        </w:rPr>
        <w:t> </w:t>
      </w:r>
      <w:r>
        <w:rPr>
          <w:rFonts w:ascii="Times New Roman" w:hAnsi="Times New Roman"/>
          <w:b w:val="false"/>
          <w:i w:val="false"/>
          <w:color w:val="000000"/>
          <w:sz w:val="22"/>
        </w:rPr>
        <w:t>If the school has an accelerated learning policy, the policy shall be a written, published policy that clearly outlines the criteria for acceptance and hours or credit granted or for test-out procedures. The hours or credit granted for accelerated learning shall not exceed 20 percent of the student’s entire course of study and shall be documented in the participating student’s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completion of all entrance requirements, a student may elect to sit for one or more academic written tests to evaluate the knowledge about subject matter gained from life experience or prior learning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student in a barbering and cosmetology arts and sciences course of study may be allowed to test out of a subject by sitting for final examinations covering the basic knowledge gained by a student who attends class sessions, or the school may accept and grant hours for prior or concurrent education and life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student who wishes to receive test-out credit or be granted hours for prior or concurrent education or life experience shall have maintained the academic grades and attendance policy standards set by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school may limit the number of times a student is allowed to sit for a test-out examination of a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481—941.20</w:t>
      </w:r>
      <w:r>
        <w:rPr>
          <w:rFonts w:ascii="Times New Roman" w:hAnsi="Times New Roman"/>
          <w:b/>
          <w:i w:val="false"/>
          <w:color w:val="000000"/>
          <w:sz w:val="22"/>
        </w:rPr>
        <w:t xml:space="preserve">(157) </w:t>
      </w:r>
      <w:r>
        <w:rPr>
          <w:rFonts w:ascii="Times New Roman" w:hAnsi="Times New Roman"/>
          <w:b/>
          <w:i w:val="false"/>
          <w:color w:val="000000"/>
          <w:sz w:val="22"/>
        </w:rPr>
        <w:t xml:space="preserve">Mentoring program. </w:t>
      </w:r>
      <w:r>
        <w:rPr>
          <w:rFonts w:ascii="Times New Roman" w:hAnsi="Times New Roman"/>
          <w:b w:val="false"/>
          <w:i w:val="false"/>
          <w:color w:val="000000"/>
          <w:sz w:val="22"/>
        </w:rPr>
        <w:t>Each barbering and cosmetology arts and sciences school must have a contract between the student, the school and the establishment mentor that includes scheduling, liability insurance and purpose of the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941.20(1)</w:t>
      </w:r>
      <w:r>
        <w:rPr>
          <w:rFonts w:ascii="Times New Roman" w:hAnsi="Times New Roman"/>
          <w:b w:val="false"/>
          <w:i w:val="false"/>
          <w:color w:val="000000"/>
          <w:sz w:val="22"/>
        </w:rPr>
        <w:t> </w:t>
      </w:r>
      <w:r>
        <w:rPr>
          <w:rFonts w:ascii="Times New Roman" w:hAnsi="Times New Roman"/>
          <w:b w:val="false"/>
          <w:i w:val="false"/>
          <w:color w:val="000000"/>
          <w:sz w:val="22"/>
        </w:rPr>
        <w:t>Students shall not begin the mentoring program until they have completed a minimum of 50 percent of the total contact or credit hours and other requirements of the mentoring program established by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941.20(2)</w:t>
      </w:r>
      <w:r>
        <w:rPr>
          <w:rFonts w:ascii="Times New Roman" w:hAnsi="Times New Roman"/>
          <w:b w:val="false"/>
          <w:i w:val="false"/>
          <w:color w:val="000000"/>
          <w:sz w:val="22"/>
        </w:rPr>
        <w:t> </w:t>
      </w:r>
      <w:r>
        <w:rPr>
          <w:rFonts w:ascii="Times New Roman" w:hAnsi="Times New Roman"/>
          <w:b w:val="false"/>
          <w:i w:val="false"/>
          <w:color w:val="000000"/>
          <w:sz w:val="22"/>
        </w:rPr>
        <w:t>Students may participate in a mentoring program for no more than 5 percent of the total contact or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941.20(3)</w:t>
      </w:r>
      <w:r>
        <w:rPr>
          <w:rFonts w:ascii="Times New Roman" w:hAnsi="Times New Roman"/>
          <w:b w:val="false"/>
          <w:i w:val="false"/>
          <w:color w:val="000000"/>
          <w:sz w:val="22"/>
        </w:rPr>
        <w:t> </w:t>
      </w:r>
      <w:r>
        <w:rPr>
          <w:rFonts w:ascii="Times New Roman" w:hAnsi="Times New Roman"/>
          <w:b w:val="false"/>
          <w:i w:val="false"/>
          <w:color w:val="000000"/>
          <w:sz w:val="22"/>
        </w:rPr>
        <w:t>Students shall be under supervision of the mentor at all times. Students may perform the following: drape, shampoo, remove color and perm chemicals, remove perm rods, remove rollers, apply temporary rinses, apply reconditioners and rebuilders with the recommendation of the mentor, remove nail polish, file nails, perform hand and arm massage, remove cosmetic preparations, act as receptionist, handle retail sales, sanitize establishment, consult with client (chairside manners), perform inventory, order supplies, prepare payroll and pay monthly bills, and hand equipment to the mentor.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941.20(4)</w:t>
      </w:r>
      <w:r>
        <w:rPr>
          <w:rFonts w:ascii="Times New Roman" w:hAnsi="Times New Roman"/>
          <w:b w:val="false"/>
          <w:i w:val="false"/>
          <w:color w:val="000000"/>
          <w:sz w:val="22"/>
        </w:rPr>
        <w:t> </w:t>
      </w:r>
      <w:r>
        <w:rPr>
          <w:rFonts w:ascii="Times New Roman" w:hAnsi="Times New Roman"/>
          <w:b w:val="false"/>
          <w:i w:val="false"/>
          <w:color w:val="000000"/>
          <w:sz w:val="22"/>
        </w:rPr>
        <w:t>The establishment mentor’s responsibilities include the following: introduce the student to the establishment and the client, record the time of the student’s attendance in establishment, prepare evaluation, discuss performance, and allow the student to shadow.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941.20(5)</w:t>
      </w:r>
      <w:r>
        <w:rPr>
          <w:rFonts w:ascii="Times New Roman" w:hAnsi="Times New Roman"/>
          <w:b w:val="false"/>
          <w:i w:val="false"/>
          <w:color w:val="000000"/>
          <w:sz w:val="22"/>
        </w:rPr>
        <w:t> </w:t>
      </w:r>
      <w:r>
        <w:rPr>
          <w:rFonts w:ascii="Times New Roman" w:hAnsi="Times New Roman"/>
          <w:b w:val="false"/>
          <w:i w:val="false"/>
          <w:color w:val="000000"/>
          <w:sz w:val="22"/>
        </w:rPr>
        <w:t>An establishment or school shall not compensate students when the students are participating in the mentoring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481—941.21</w:t>
      </w:r>
      <w:r>
        <w:rPr>
          <w:rFonts w:ascii="Times New Roman" w:hAnsi="Times New Roman"/>
          <w:b/>
          <w:i w:val="false"/>
          <w:color w:val="000000"/>
          <w:sz w:val="22"/>
        </w:rPr>
        <w:t xml:space="preserve">(157) </w:t>
      </w:r>
      <w:r>
        <w:rPr>
          <w:rFonts w:ascii="Times New Roman" w:hAnsi="Times New Roman"/>
          <w:b/>
          <w:i w:val="false"/>
          <w:color w:val="000000"/>
          <w:sz w:val="22"/>
        </w:rPr>
        <w:t xml:space="preserve">Graduate of a school of barbering and cosmetology arts and sciences.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941.21(1)</w:t>
      </w:r>
      <w:r>
        <w:rPr>
          <w:rFonts w:ascii="Times New Roman" w:hAnsi="Times New Roman"/>
          <w:b w:val="false"/>
          <w:i w:val="false"/>
          <w:color w:val="000000"/>
          <w:sz w:val="22"/>
        </w:rPr>
        <w:t> </w:t>
      </w:r>
      <w:r>
        <w:rPr>
          <w:rFonts w:ascii="Times New Roman" w:hAnsi="Times New Roman"/>
          <w:b w:val="false"/>
          <w:i w:val="false"/>
          <w:color w:val="000000"/>
          <w:sz w:val="22"/>
        </w:rPr>
        <w:t>A student shall be considered a graduate when the student has completed the required course of study and met the minimum attendance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941.21(2)</w:t>
      </w:r>
      <w:r>
        <w:rPr>
          <w:rFonts w:ascii="Times New Roman" w:hAnsi="Times New Roman"/>
          <w:b w:val="false"/>
          <w:i w:val="false"/>
          <w:color w:val="000000"/>
          <w:sz w:val="22"/>
        </w:rPr>
        <w:t> </w:t>
      </w:r>
      <w:r>
        <w:rPr>
          <w:rFonts w:ascii="Times New Roman" w:hAnsi="Times New Roman"/>
          <w:b w:val="false"/>
          <w:i w:val="false"/>
          <w:color w:val="000000"/>
          <w:sz w:val="22"/>
        </w:rPr>
        <w:t>Students shall be given a final examination upon completion of the course of study but before graduation.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941.21(3)</w:t>
      </w:r>
      <w:r>
        <w:rPr>
          <w:rFonts w:ascii="Times New Roman" w:hAnsi="Times New Roman"/>
          <w:b w:val="false"/>
          <w:i w:val="false"/>
          <w:color w:val="000000"/>
          <w:sz w:val="22"/>
        </w:rPr>
        <w:t> </w:t>
      </w:r>
      <w:r>
        <w:rPr>
          <w:rFonts w:ascii="Times New Roman" w:hAnsi="Times New Roman"/>
          <w:b w:val="false"/>
          <w:i w:val="false"/>
          <w:color w:val="000000"/>
          <w:sz w:val="22"/>
        </w:rPr>
        <w:t>After passage of the final examination and completion of the entire course of study including all project sheets, students shall be issued a certificate of completion of hours required for the course of study.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481—941.22</w:t>
      </w:r>
      <w:r>
        <w:rPr>
          <w:rFonts w:ascii="Times New Roman" w:hAnsi="Times New Roman"/>
          <w:b/>
          <w:i w:val="false"/>
          <w:color w:val="000000"/>
          <w:sz w:val="22"/>
        </w:rPr>
        <w:t xml:space="preserve">(157) </w:t>
      </w:r>
      <w:r>
        <w:rPr>
          <w:rFonts w:ascii="Times New Roman" w:hAnsi="Times New Roman"/>
          <w:b/>
          <w:i w:val="false"/>
          <w:color w:val="000000"/>
          <w:sz w:val="22"/>
        </w:rPr>
        <w:t xml:space="preserve">Records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941.22(1)</w:t>
      </w:r>
      <w:r>
        <w:rPr>
          <w:rFonts w:ascii="Times New Roman" w:hAnsi="Times New Roman"/>
          <w:b w:val="false"/>
          <w:i w:val="false"/>
          <w:color w:val="000000"/>
          <w:sz w:val="22"/>
        </w:rPr>
        <w:t> </w:t>
      </w:r>
      <w:r>
        <w:rPr>
          <w:rFonts w:ascii="Times New Roman" w:hAnsi="Times New Roman"/>
          <w:b w:val="false"/>
          <w:i w:val="false"/>
          <w:color w:val="000000"/>
          <w:sz w:val="22"/>
        </w:rPr>
        <w:t>Each school of barbering and cosmetology arts and sciences shall maintain a complete set of student records. Individual student hours shall be kept on file at the school for two years following graduation.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941.22(2)</w:t>
      </w:r>
      <w:r>
        <w:rPr>
          <w:rFonts w:ascii="Times New Roman" w:hAnsi="Times New Roman"/>
          <w:b w:val="false"/>
          <w:i w:val="false"/>
          <w:color w:val="000000"/>
          <w:sz w:val="22"/>
        </w:rPr>
        <w:t> </w:t>
      </w:r>
      <w:r>
        <w:rPr>
          <w:rFonts w:ascii="Times New Roman" w:hAnsi="Times New Roman"/>
          <w:b w:val="false"/>
          <w:i w:val="false"/>
          <w:color w:val="000000"/>
          <w:sz w:val="22"/>
        </w:rPr>
        <w:t>Each school shall maintain daily teaching logs for all instructors, which shall be kept on file at the school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941.22(3)</w:t>
      </w:r>
      <w:r>
        <w:rPr>
          <w:rFonts w:ascii="Times New Roman" w:hAnsi="Times New Roman"/>
          <w:b w:val="false"/>
          <w:i w:val="false"/>
          <w:color w:val="000000"/>
          <w:sz w:val="22"/>
        </w:rPr>
        <w:t> </w:t>
      </w:r>
      <w:r>
        <w:rPr>
          <w:rFonts w:ascii="Times New Roman" w:hAnsi="Times New Roman"/>
          <w:b w:val="false"/>
          <w:i w:val="false"/>
          <w:color w:val="000000"/>
          <w:sz w:val="22"/>
        </w:rPr>
        <w:t>Prior to closure, the controlling school shall establish agreements with another school to maintain student and graduate transcripts and records. Prior to closure, the controlling school shall also notify the board in writing of the location of student records as established by the maintenance agreements and shall submit a copy of the maintenance agreements to the board. Provisions in the agreement must include maintenance of student transcript records for a period of no less than two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481—941.23</w:t>
      </w:r>
      <w:r>
        <w:rPr>
          <w:rFonts w:ascii="Times New Roman" w:hAnsi="Times New Roman"/>
          <w:b/>
          <w:i w:val="false"/>
          <w:color w:val="000000"/>
          <w:sz w:val="22"/>
        </w:rPr>
        <w:t xml:space="preserve">(157) </w:t>
      </w:r>
      <w:r>
        <w:rPr>
          <w:rFonts w:ascii="Times New Roman" w:hAnsi="Times New Roman"/>
          <w:b/>
          <w:i w:val="false"/>
          <w:color w:val="000000"/>
          <w:sz w:val="22"/>
        </w:rPr>
        <w:t xml:space="preserve">Classrooms used for other educational purposes. </w:t>
      </w:r>
      <w:r>
        <w:rPr>
          <w:rFonts w:ascii="Times New Roman" w:hAnsi="Times New Roman"/>
          <w:b w:val="false"/>
          <w:i w:val="false"/>
          <w:color w:val="000000"/>
          <w:sz w:val="22"/>
        </w:rPr>
        <w:t>The licensed school of barbering and cosmetology arts and sciences may be used during scheduled theory or applied practical time for any use other than for student instruction so long as these activities do not disrupt classes. Activities that disrupt classes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941.23(1)</w:t>
      </w:r>
      <w:r>
        <w:rPr>
          <w:rFonts w:ascii="Times New Roman" w:hAnsi="Times New Roman"/>
          <w:b w:val="false"/>
          <w:i w:val="false"/>
          <w:color w:val="000000"/>
          <w:sz w:val="22"/>
        </w:rPr>
        <w:t> </w:t>
      </w:r>
      <w:r>
        <w:rPr>
          <w:rFonts w:ascii="Times New Roman" w:hAnsi="Times New Roman"/>
          <w:b w:val="false"/>
          <w:i w:val="false"/>
          <w:color w:val="000000"/>
          <w:sz w:val="22"/>
        </w:rPr>
        <w:t>Persons attending other educational classes passing through a classroom or clinic area (en masse) while it is in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941.23(2)</w:t>
      </w:r>
      <w:r>
        <w:rPr>
          <w:rFonts w:ascii="Times New Roman" w:hAnsi="Times New Roman"/>
          <w:b w:val="false"/>
          <w:i w:val="false"/>
          <w:color w:val="000000"/>
          <w:sz w:val="22"/>
        </w:rPr>
        <w:t> </w:t>
      </w:r>
      <w:r>
        <w:rPr>
          <w:rFonts w:ascii="Times New Roman" w:hAnsi="Times New Roman"/>
          <w:b w:val="false"/>
          <w:i w:val="false"/>
          <w:color w:val="000000"/>
          <w:sz w:val="22"/>
        </w:rPr>
        <w:t>Activities with noise levels that are disruptive to other classes.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941.23(3)</w:t>
      </w:r>
      <w:r>
        <w:rPr>
          <w:rFonts w:ascii="Times New Roman" w:hAnsi="Times New Roman"/>
          <w:b w:val="false"/>
          <w:i w:val="false"/>
          <w:color w:val="000000"/>
          <w:sz w:val="22"/>
        </w:rPr>
        <w:t> </w:t>
      </w:r>
      <w:r>
        <w:rPr>
          <w:rFonts w:ascii="Times New Roman" w:hAnsi="Times New Roman"/>
          <w:b w:val="false"/>
          <w:i w:val="false"/>
          <w:color w:val="000000"/>
          <w:sz w:val="22"/>
        </w:rPr>
        <w:t>Activities that usurp the space available for barbering and cosmetology arts and sciences instruction.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7921C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50">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7/1/52; amended 4/21/53, 5/15/53, 10/1/59, 4/19/71]</w:t>
      </w:r>
    </w:p>
    <w:p>
      <w:pPr>
        <w:spacing w:before="0" w:after="0"/>
        <w:ind w:left="120"/>
        <w:jc w:val="center"/>
      </w:pPr>
      <w:r>
        <w:rPr>
          <w:rFonts w:ascii="Times New Roman" w:hAnsi="Times New Roman"/>
          <w:b w:val="false"/>
          <w:i w:val="false"/>
          <w:color w:val="000000"/>
          <w:sz w:val="21"/>
        </w:rPr>
        <w:t>[Filed 8/5/77, Notice 6/1/77—published 8/24/77, effective 10/1/77]</w:t>
      </w:r>
    </w:p>
    <w:p>
      <w:pPr>
        <w:spacing w:before="0" w:after="0"/>
        <w:ind w:left="120"/>
        <w:jc w:val="center"/>
      </w:pPr>
      <w:r>
        <w:rPr>
          <w:rFonts w:ascii="Times New Roman" w:hAnsi="Times New Roman"/>
          <w:b w:val="false"/>
          <w:i w:val="false"/>
          <w:color w:val="000000"/>
          <w:sz w:val="21"/>
        </w:rPr>
        <w:t>[Filed 4/28/78, Notice 12/28/77—published 5/17/78, effective 6/21/78]</w:t>
      </w:r>
    </w:p>
    <w:p>
      <w:pPr>
        <w:spacing w:before="0" w:after="0"/>
        <w:ind w:left="120"/>
        <w:jc w:val="center"/>
      </w:pPr>
      <w:r>
        <w:rPr>
          <w:rFonts w:ascii="Times New Roman" w:hAnsi="Times New Roman"/>
          <w:b w:val="false"/>
          <w:i w:val="false"/>
          <w:color w:val="000000"/>
          <w:sz w:val="21"/>
        </w:rPr>
        <w:t>[Filed 2/12/82, Notice 12/23/81—published 3/3/82, effective 4/9/82]</w:t>
      </w:r>
    </w:p>
    <w:p>
      <w:pPr>
        <w:spacing w:before="0" w:after="0"/>
        <w:ind w:left="120"/>
        <w:jc w:val="center"/>
      </w:pPr>
      <w:r>
        <w:rPr>
          <w:rFonts w:ascii="Times New Roman" w:hAnsi="Times New Roman"/>
          <w:b w:val="false"/>
          <w:i w:val="false"/>
          <w:color w:val="000000"/>
          <w:sz w:val="21"/>
        </w:rPr>
        <w:t>[Filed 10/6/83, Notice 7/20/83—published 10/26/83, effective 11/30/83]</w:t>
      </w:r>
    </w:p>
    <w:p>
      <w:pPr>
        <w:spacing w:before="0" w:after="0"/>
        <w:ind w:left="120"/>
        <w:jc w:val="center"/>
      </w:pPr>
      <w:r>
        <w:rPr>
          <w:rFonts w:ascii="Times New Roman" w:hAnsi="Times New Roman"/>
          <w:b w:val="false"/>
          <w:i w:val="false"/>
          <w:color w:val="000000"/>
          <w:sz w:val="21"/>
        </w:rPr>
        <w:t>[Filed 1/23/84, Notice 12/7/83—published 2/15/84, effective 5/2/84]</w:t>
      </w:r>
    </w:p>
    <w:p>
      <w:pPr>
        <w:spacing w:before="0" w:after="0"/>
        <w:ind w:left="120"/>
        <w:jc w:val="center"/>
      </w:pPr>
      <w:r>
        <w:rPr>
          <w:rFonts w:ascii="Times New Roman" w:hAnsi="Times New Roman"/>
          <w:b w:val="false"/>
          <w:i w:val="false"/>
          <w:color w:val="000000"/>
          <w:sz w:val="21"/>
        </w:rPr>
        <w:t>[Filed 11/15/84, Notice 9/26/84—published 12/5/84, effective 1/9/85]</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8/4/89, Notice 6/14/89—published 8/23/89, effective 9/27/89]</w:t>
      </w:r>
    </w:p>
    <w:p>
      <w:pPr>
        <w:spacing w:before="0" w:after="0"/>
        <w:ind w:left="120"/>
        <w:jc w:val="center"/>
      </w:pPr>
      <w:r>
        <w:rPr>
          <w:rFonts w:ascii="Times New Roman" w:hAnsi="Times New Roman"/>
          <w:b w:val="false"/>
          <w:i w:val="false"/>
          <w:color w:val="000000"/>
          <w:sz w:val="21"/>
        </w:rPr>
        <w:t>[Filed 12/4/92, Notice 8/5/92—published 12/23/92, effective 1/29/93]</w:t>
      </w:r>
    </w:p>
    <w:p>
      <w:pPr>
        <w:spacing w:before="0" w:after="0"/>
        <w:ind w:left="120"/>
        <w:jc w:val="center"/>
      </w:pPr>
      <w:r>
        <w:rPr>
          <w:rFonts w:ascii="Times New Roman" w:hAnsi="Times New Roman"/>
          <w:b w:val="false"/>
          <w:i w:val="false"/>
          <w:color w:val="000000"/>
          <w:sz w:val="21"/>
        </w:rPr>
        <w:t>[Filed 11/2/95, Notice 9/13/95—published 11/22/95, effective 12/27/95]</w:t>
      </w:r>
    </w:p>
    <w:p>
      <w:pPr>
        <w:spacing w:before="0" w:after="0"/>
        <w:ind w:left="120"/>
        <w:jc w:val="center"/>
      </w:pPr>
      <w:r>
        <w:rPr>
          <w:rFonts w:ascii="Times New Roman" w:hAnsi="Times New Roman"/>
          <w:b w:val="false"/>
          <w:i w:val="false"/>
          <w:color w:val="000000"/>
          <w:sz w:val="21"/>
        </w:rPr>
        <w:t>[Filed 11/15/96, Notice 9/11/96—published 12/4/96, effective 1/8/97]</w:t>
      </w:r>
    </w:p>
    <w:p>
      <w:pPr>
        <w:spacing w:before="0" w:after="0"/>
        <w:ind w:left="120"/>
        <w:jc w:val="center"/>
      </w:pPr>
      <w:r>
        <w:rPr>
          <w:rFonts w:ascii="Times New Roman" w:hAnsi="Times New Roman"/>
          <w:b w:val="false"/>
          <w:i w:val="false"/>
          <w:color w:val="000000"/>
          <w:sz w:val="21"/>
        </w:rPr>
        <w:t>[Filed 2/6/98, Notice 11/19/97—published 2/25/98, effective 4/1/98]</w:t>
      </w:r>
    </w:p>
    <w:p>
      <w:pPr>
        <w:spacing w:before="0" w:after="0"/>
        <w:ind w:left="120"/>
        <w:jc w:val="center"/>
      </w:pPr>
      <w:r>
        <w:rPr>
          <w:rFonts w:ascii="Times New Roman" w:hAnsi="Times New Roman"/>
          <w:b w:val="false"/>
          <w:i w:val="false"/>
          <w:color w:val="000000"/>
          <w:sz w:val="21"/>
        </w:rPr>
        <w:t>[Filed 11/24/99, Notice 8/11/99—published 12/15/99, effective 1/19/00]</w:t>
      </w:r>
    </w:p>
    <w:p>
      <w:pPr>
        <w:spacing w:before="0" w:after="0"/>
        <w:ind w:left="120"/>
        <w:jc w:val="center"/>
      </w:pPr>
      <w:r>
        <w:rPr>
          <w:rFonts w:ascii="Times New Roman" w:hAnsi="Times New Roman"/>
          <w:b w:val="false"/>
          <w:i w:val="false"/>
          <w:color w:val="000000"/>
          <w:sz w:val="21"/>
        </w:rPr>
        <w:t>[Filed 2/13/02, Notice 11/28/01—published 3/6/02, effective 4/10/02]</w:t>
      </w:r>
    </w:p>
    <w:p>
      <w:pPr>
        <w:spacing w:before="0" w:after="0"/>
        <w:ind w:left="120"/>
        <w:jc w:val="center"/>
      </w:pPr>
      <w:r>
        <w:rPr>
          <w:rFonts w:ascii="Times New Roman" w:hAnsi="Times New Roman"/>
          <w:b w:val="false"/>
          <w:i w:val="false"/>
          <w:color w:val="000000"/>
          <w:sz w:val="21"/>
        </w:rPr>
        <w:t>[Filed 2/12/03, Notice 12/25/02—published 3/5/03, effective 4/9/03]</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2/3/05, Notice 11/24/04—published 3/2/05, effective 4/6/05]</w:t>
      </w:r>
    </w:p>
    <w:p>
      <w:pPr>
        <w:spacing w:before="0" w:after="0"/>
        <w:ind w:left="120"/>
        <w:jc w:val="center"/>
      </w:pPr>
      <w:r>
        <w:rPr>
          <w:rFonts w:ascii="Times New Roman" w:hAnsi="Times New Roman"/>
          <w:b w:val="false"/>
          <w:i w:val="false"/>
          <w:color w:val="000000"/>
          <w:sz w:val="21"/>
        </w:rPr>
        <w:t>[Filed 11/4/05, Notice 9/28/05—published 11/23/05, effective 12/28/05]</w:t>
      </w:r>
    </w:p>
    <w:p>
      <w:pPr>
        <w:spacing w:before="0" w:after="0"/>
        <w:ind w:left="120"/>
        <w:jc w:val="center"/>
      </w:pPr>
      <w:r>
        <w:rPr>
          <w:rFonts w:ascii="Times New Roman" w:hAnsi="Times New Roman"/>
          <w:b w:val="false"/>
          <w:i w:val="false"/>
          <w:color w:val="000000"/>
          <w:sz w:val="21"/>
        </w:rPr>
        <w:t>[Filed 2/1/06, Notice 12/7/05—published 3/1/06, effective 4/5/06]</w:t>
      </w:r>
    </w:p>
    <w:p>
      <w:pPr>
        <w:spacing w:before="0" w:after="0"/>
        <w:ind w:left="120"/>
        <w:jc w:val="center"/>
      </w:pPr>
      <w:r>
        <w:rPr>
          <w:rFonts w:ascii="Times New Roman" w:hAnsi="Times New Roman"/>
          <w:b w:val="false"/>
          <w:i w:val="false"/>
          <w:color w:val="000000"/>
          <w:sz w:val="21"/>
        </w:rPr>
        <w:t>[Filed 10/24/07, Notice 9/12/07—published 11/21/07, effective 1/1/08]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8515B</w:t>
      </w:r>
      <w:r>
        <w:rPr>
          <w:rFonts w:ascii="Times New Roman" w:hAnsi="Times New Roman"/>
          <w:b w:val="false"/>
          <w:i w:val="false"/>
          <w:color w:val="000000"/>
          <w:sz w:val="21"/>
        </w:rPr>
        <w:t xml:space="preserve"> (Notice ARC 8330B, IAB 12/2/09)</w:t>
      </w:r>
      <w:r>
        <w:rPr>
          <w:rFonts w:ascii="Times New Roman" w:hAnsi="Times New Roman"/>
          <w:b w:val="false"/>
          <w:i w:val="false"/>
          <w:color w:val="000000"/>
          <w:sz w:val="21"/>
        </w:rPr>
        <w:t>, IAB 2/10/10, effective 3/17/10]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3/24/10]</w:t>
      </w:r>
    </w:p>
    <w:p>
      <w:pPr>
        <w:spacing w:before="0" w:after="0"/>
        <w:ind w:left="120"/>
        <w:jc w:val="center"/>
      </w:pPr>
      <w:r>
        <w:rPr>
          <w:rFonts w:ascii="Times New Roman" w:hAnsi="Times New Roman"/>
          <w:b w:val="false"/>
          <w:i w:val="false"/>
          <w:color w:val="000000"/>
          <w:sz w:val="21"/>
        </w:rPr>
        <w:t>[Filed ARC 2600C</w:t>
      </w:r>
      <w:r>
        <w:rPr>
          <w:rFonts w:ascii="Times New Roman" w:hAnsi="Times New Roman"/>
          <w:b w:val="false"/>
          <w:i w:val="false"/>
          <w:color w:val="000000"/>
          <w:sz w:val="21"/>
        </w:rPr>
        <w:t xml:space="preserve"> (Notice ARC 2465C, IAB 3/16/16)</w:t>
      </w:r>
      <w:r>
        <w:rPr>
          <w:rFonts w:ascii="Times New Roman" w:hAnsi="Times New Roman"/>
          <w:b w:val="false"/>
          <w:i w:val="false"/>
          <w:color w:val="000000"/>
          <w:sz w:val="21"/>
        </w:rPr>
        <w:t>, IAB 6/22/16, effective 8/15/16]</w:t>
      </w:r>
    </w:p>
    <w:p>
      <w:pPr>
        <w:spacing w:before="0" w:after="0"/>
        <w:ind w:left="120"/>
        <w:jc w:val="center"/>
      </w:pPr>
      <w:r>
        <w:rPr>
          <w:rFonts w:ascii="Times New Roman" w:hAnsi="Times New Roman"/>
          <w:b w:val="false"/>
          <w:i w:val="false"/>
          <w:color w:val="000000"/>
          <w:sz w:val="21"/>
        </w:rPr>
        <w:t>[Filed ARC 3558C</w:t>
      </w:r>
      <w:r>
        <w:rPr>
          <w:rFonts w:ascii="Times New Roman" w:hAnsi="Times New Roman"/>
          <w:b w:val="false"/>
          <w:i w:val="false"/>
          <w:color w:val="000000"/>
          <w:sz w:val="21"/>
        </w:rPr>
        <w:t xml:space="preserve"> (Notice ARC 3372C,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5755C</w:t>
      </w:r>
      <w:r>
        <w:rPr>
          <w:rFonts w:ascii="Times New Roman" w:hAnsi="Times New Roman"/>
          <w:b w:val="false"/>
          <w:i w:val="false"/>
          <w:color w:val="000000"/>
          <w:sz w:val="21"/>
        </w:rPr>
        <w:t xml:space="preserve"> (Notice ARC 5455C,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6376C</w:t>
      </w:r>
      <w:r>
        <w:rPr>
          <w:rFonts w:ascii="Times New Roman" w:hAnsi="Times New Roman"/>
          <w:b w:val="false"/>
          <w:i w:val="false"/>
          <w:color w:val="000000"/>
          <w:sz w:val="21"/>
        </w:rPr>
        <w:t xml:space="preserve"> (Notice ARC 6258C, IAB 3/23/22)</w:t>
      </w:r>
      <w:r>
        <w:rPr>
          <w:rFonts w:ascii="Times New Roman" w:hAnsi="Times New Roman"/>
          <w:b w:val="false"/>
          <w:i w:val="false"/>
          <w:color w:val="000000"/>
          <w:sz w:val="21"/>
        </w:rPr>
        <w:t>, IAB 6/29/22, effective 8/3/22]</w:t>
      </w:r>
    </w:p>
    <w:p>
      <w:pPr>
        <w:spacing w:before="0" w:after="0"/>
        <w:ind w:left="120"/>
        <w:jc w:val="center"/>
      </w:pPr>
      <w:r>
        <w:rPr>
          <w:rFonts w:ascii="Times New Roman" w:hAnsi="Times New Roman"/>
          <w:b w:val="false"/>
          <w:i w:val="false"/>
          <w:color w:val="000000"/>
          <w:sz w:val="21"/>
        </w:rPr>
        <w:t>[Filed ARC 7921C</w:t>
      </w:r>
      <w:r>
        <w:rPr>
          <w:rFonts w:ascii="Times New Roman" w:hAnsi="Times New Roman"/>
          <w:b w:val="false"/>
          <w:i w:val="false"/>
          <w:color w:val="000000"/>
          <w:sz w:val="21"/>
        </w:rPr>
        <w:t xml:space="preserve"> (Notice ARC 7538C, IAB 1/24/24)</w:t>
      </w:r>
      <w:r>
        <w:rPr>
          <w:rFonts w:ascii="Times New Roman" w:hAnsi="Times New Roman"/>
          <w:b w:val="false"/>
          <w:i w:val="false"/>
          <w:color w:val="000000"/>
          <w:sz w:val="21"/>
        </w:rPr>
        <w:t>, IAB 5/1/24, effective 7/1/24]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March 17, 2010, effective date of 61.15(3) delayed 70 days by the Administrative Rules Review Committee at its meeting held March 8, 2010.</w:t>
      </w:r>
    </w:p>
    <w:sectPr>
      <w:footerReference r:id="rId5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7.1.pdf" Type="http://schemas.openxmlformats.org/officeDocument/2006/relationships/hyperlink" Id="rId5"/>
    <Relationship TargetMode="External" Target="https://www.legis.iowa.gov/docs/ico/chapter/84D.2.pdf" Type="http://schemas.openxmlformats.org/officeDocument/2006/relationships/hyperlink" Id="rId6"/>
    <Relationship TargetMode="External" Target="https://www.legis.iowa.gov/docs/ico/chapter/157.1.pdf" Type="http://schemas.openxmlformats.org/officeDocument/2006/relationships/hyperlink" Id="rId7"/>
    <Relationship TargetMode="External" Target="https://www.legis.iowa.gov/docs/iac/chapter/481.943.pdf" Type="http://schemas.openxmlformats.org/officeDocument/2006/relationships/hyperlink" Id="rId8"/>
    <Relationship TargetMode="External" Target="https://www.legis.iowa.gov/docs/iac/rule/481.507.2.pdf" Type="http://schemas.openxmlformats.org/officeDocument/2006/relationships/hyperlink" Id="rId9"/>
    <Relationship TargetMode="External" Target="https://www.legis.iowa.gov/docs/iac/chapter/481.943.pdf" Type="http://schemas.openxmlformats.org/officeDocument/2006/relationships/hyperlink" Id="rId10"/>
    <Relationship TargetMode="External" Target="https://www.legis.iowa.gov/docs/iac/rule/481.507.5.pdf" Type="http://schemas.openxmlformats.org/officeDocument/2006/relationships/hyperlink" Id="rId11"/>
    <Relationship TargetMode="External" Target="https://www.legis.iowa.gov/docs/iac/chapter/481.943.pdf" Type="http://schemas.openxmlformats.org/officeDocument/2006/relationships/hyperlink" Id="rId12"/>
    <Relationship TargetMode="External" Target="https://www.legis.iowa.gov/docs/iac/rule/481.943.6.pdf" Type="http://schemas.openxmlformats.org/officeDocument/2006/relationships/hyperlink" Id="rId13"/>
    <Relationship TargetMode="External" Target="https://www.legis.iowa.gov/docs/iac/rule/481.943.8.pdf" Type="http://schemas.openxmlformats.org/officeDocument/2006/relationships/hyperlink" Id="rId14"/>
    <Relationship TargetMode="External" Target="https://www.legis.iowa.gov/docs/iac/chapter/481.943.pdf" Type="http://schemas.openxmlformats.org/officeDocument/2006/relationships/hyperlink" Id="rId15"/>
    <Relationship TargetMode="External" Target="https://www.legis.iowa.gov/docs/ico/chapter/157.12C.pdf" Type="http://schemas.openxmlformats.org/officeDocument/2006/relationships/hyperlink" Id="rId16"/>
    <Relationship TargetMode="External" Target="https://www.legis.iowa.gov/docs/iac/rule/481.507.5.pdf" Type="http://schemas.openxmlformats.org/officeDocument/2006/relationships/hyperlink" Id="rId17"/>
    <Relationship TargetMode="External" Target="https://www.legis.iowa.gov/docs/iac/rule/481.941.14.pdf" Type="http://schemas.openxmlformats.org/officeDocument/2006/relationships/hyperlink" Id="rId18"/>
    <Relationship TargetMode="External" Target="https://www.legis.iowa.gov/docs/ico/chapter/157.8.pdf" Type="http://schemas.openxmlformats.org/officeDocument/2006/relationships/hyperlink" Id="rId19"/>
    <Relationship TargetMode="External" Target="https://www.legis.iowa.gov/docs/iac/chapter/481.943.pdf" Type="http://schemas.openxmlformats.org/officeDocument/2006/relationships/hyperlink" Id="rId20"/>
    <Relationship TargetMode="External" Target="https://www.legis.iowa.gov/docs/iac/rule/481.507.5.pdf" Type="http://schemas.openxmlformats.org/officeDocument/2006/relationships/hyperlink" Id="rId21"/>
    <Relationship TargetMode="External" Target="https://www.legis.iowa.gov/docs/iac/rule/481.941.8.pdf" Type="http://schemas.openxmlformats.org/officeDocument/2006/relationships/hyperlink" Id="rId22"/>
    <Relationship TargetMode="External" Target="https://www.legis.iowa.gov/docs/iac/rule/645.23.2.pdf" Type="http://schemas.openxmlformats.org/officeDocument/2006/relationships/hyperlink" Id="rId23"/>
    <Relationship TargetMode="External" Target="https://www.legis.iowa.gov/docs/ico/chapter/147.80.pdf" Type="http://schemas.openxmlformats.org/officeDocument/2006/relationships/hyperlink" Id="rId24"/>
    <Relationship TargetMode="External" Target="https://www.legis.iowa.gov/docs/ico/chapter/157.6.pdf" Type="http://schemas.openxmlformats.org/officeDocument/2006/relationships/hyperlink" Id="rId25"/>
    <Relationship TargetMode="External" Target="https://www.legis.iowa.gov/docs/ico/chapter/157.8.pdf" Type="http://schemas.openxmlformats.org/officeDocument/2006/relationships/hyperlink" Id="rId26"/>
    <Relationship TargetMode="External" Target="https://www.legis.iowa.gov/docs/iac/chapter/481.943.pdf" Type="http://schemas.openxmlformats.org/officeDocument/2006/relationships/hyperlink" Id="rId27"/>
    <Relationship TargetMode="External" Target="https://www.legis.iowa.gov/docs/ico/chapter/157.6.pdf" Type="http://schemas.openxmlformats.org/officeDocument/2006/relationships/hyperlink" Id="rId28"/>
    <Relationship TargetMode="External" Target="https://www.legis.iowa.gov/docs/ico/chapter/157.8.pdf" Type="http://schemas.openxmlformats.org/officeDocument/2006/relationships/hyperlink" Id="rId29"/>
    <Relationship TargetMode="External" Target="https://www.legis.iowa.gov/docs/iac/chapter/481.943.pdf" Type="http://schemas.openxmlformats.org/officeDocument/2006/relationships/hyperlink" Id="rId30"/>
    <Relationship TargetMode="External" Target="https://www.legis.iowa.gov/docs/iac/chapter/481.943.pdf" Type="http://schemas.openxmlformats.org/officeDocument/2006/relationships/hyperlink" Id="rId31"/>
    <Relationship TargetMode="External" Target="https://www.legis.iowa.gov/docs/ico/chapter/157.6.pdf" Type="http://schemas.openxmlformats.org/officeDocument/2006/relationships/hyperlink" Id="rId32"/>
    <Relationship TargetMode="External" Target="https://www.legis.iowa.gov/docs/ico/chapter/157.8.pdf" Type="http://schemas.openxmlformats.org/officeDocument/2006/relationships/hyperlink" Id="rId33"/>
    <Relationship TargetMode="External" Target="https://www.legis.iowa.gov/docs/ico/chapter/157.6.pdf" Type="http://schemas.openxmlformats.org/officeDocument/2006/relationships/hyperlink" Id="rId34"/>
    <Relationship TargetMode="External" Target="https://www.legis.iowa.gov/docs/ico/chapter/157.8.pdf" Type="http://schemas.openxmlformats.org/officeDocument/2006/relationships/hyperlink" Id="rId35"/>
    <Relationship TargetMode="External" Target="https://www.legis.iowa.gov/docs/ico/chapter/157.1.pdf" Type="http://schemas.openxmlformats.org/officeDocument/2006/relationships/hyperlink" Id="rId36"/>
    <Relationship TargetMode="External" Target="https://www.legis.iowa.gov/docs/ico/chapter/157.1.pdf" Type="http://schemas.openxmlformats.org/officeDocument/2006/relationships/hyperlink" Id="rId37"/>
    <Relationship TargetMode="External" Target="https://www.legis.iowa.gov/docs/ico/chapter/157.1.pdf" Type="http://schemas.openxmlformats.org/officeDocument/2006/relationships/hyperlink" Id="rId38"/>
    <Relationship TargetMode="External" Target="https://www.legis.iowa.gov/docs/ico/chapter/157.1.pdf" Type="http://schemas.openxmlformats.org/officeDocument/2006/relationships/hyperlink" Id="rId39"/>
    <Relationship TargetMode="External" Target="https://www.legis.iowa.gov/docs/iac/rule/645.61.14.pdf" Type="http://schemas.openxmlformats.org/officeDocument/2006/relationships/hyperlink" Id="rId40"/>
    <Relationship TargetMode="External" Target="https://www.legis.iowa.gov/docs/iac/rule/645.61.14.pdf" Type="http://schemas.openxmlformats.org/officeDocument/2006/relationships/hyperlink" Id="rId41"/>
    <Relationship TargetMode="External" Target="https://www.legis.iowa.gov/docs/iac/rule/645.61.14.pdf" Type="http://schemas.openxmlformats.org/officeDocument/2006/relationships/hyperlink" Id="rId42"/>
    <Relationship TargetMode="External" Target="https://www.legis.iowa.gov/docs/iac/rule/481.940.2.pdf" Type="http://schemas.openxmlformats.org/officeDocument/2006/relationships/hyperlink" Id="rId43"/>
    <Relationship TargetMode="External" Target="https://www.legis.iowa.gov/docs/iac/rule/481.940.4.pdf" Type="http://schemas.openxmlformats.org/officeDocument/2006/relationships/hyperlink" Id="rId44"/>
    <Relationship TargetMode="External" Target="https://www.legis.iowa.gov/docs/iac/rule/481.941.23.pdf" Type="http://schemas.openxmlformats.org/officeDocument/2006/relationships/hyperlink" Id="rId45"/>
    <Relationship TargetMode="External" Target="https://www.legis.iowa.gov/docs/ico/chapter/157.pdf" Type="http://schemas.openxmlformats.org/officeDocument/2006/relationships/hyperlink" Id="rId46"/>
    <Relationship TargetMode="External" Target="https://www.legis.iowa.gov/docs/ico/chapter/714.25.pdf" Type="http://schemas.openxmlformats.org/officeDocument/2006/relationships/hyperlink" Id="rId47"/>
    <Relationship TargetMode="External" Target="https://www.legis.iowa.gov/docs/iac/rule/481.941.14.pdf" Type="http://schemas.openxmlformats.org/officeDocument/2006/relationships/hyperlink" Id="rId48"/>
    <Relationship TargetMode="External" Target="https://www.legis.iowa.gov/docs/ico/chapter/157.pdf" Type="http://schemas.openxmlformats.org/officeDocument/2006/relationships/hyperlink" Id="rId49"/>
    <Relationship TargetMode="External" Target="https://www.legis.iowa.gov/docs/ico/chapter/157.pdf" Type="http://schemas.openxmlformats.org/officeDocument/2006/relationships/hyperlink" Id="rId50"/>
    <Relationship TargetMode="External" Target="https://www.legis.iowa.gov/docs/ico/chapter/272C.pdf" Type="http://schemas.openxmlformats.org/officeDocument/2006/relationships/hyperlink" Id="rId51"/>
    <Relationship Target="footer.xml" Type="http://schemas.openxmlformats.org/officeDocument/2006/relationships/footer" Id="rId5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