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BOARD OF BARBERING AND COSMETOLOGY ARTS AND SCIENCES</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940</w:t>
      </w:r>
    </w:p>
    <w:p>
      <w:pPr>
        <w:spacing w:before="0" w:after="0"/>
        <w:ind w:left="120"/>
        <w:jc w:val="center"/>
      </w:pPr>
      <w:r>
        <w:rPr>
          <w:rFonts w:ascii="Times New Roman" w:hAnsi="Times New Roman"/>
          <w:b w:val="false"/>
          <w:i w:val="false"/>
          <w:color w:val="000000"/>
          <w:sz w:val="21"/>
        </w:rPr>
        <w:t xml:space="preserve">LICENSURE OF BARBERS AND COSMETOLOGISTS, ELECTROLOGISTS, </w:t>
      </w:r>
      <w:r>
        <w:br/>
      </w:r>
      <w:r>
        <w:rPr>
          <w:rFonts w:ascii="Times New Roman" w:hAnsi="Times New Roman"/>
          <w:b w:val="false"/>
          <w:i w:val="false"/>
          <w:color w:val="000000"/>
          <w:sz w:val="21"/>
        </w:rPr>
        <w:t xml:space="preserve">ESTHETICIANS, NAIL TECHNOLOGISTS, AND INSTRUCTORS OF BARBERING </w:t>
      </w:r>
      <w:r>
        <w:br/>
      </w:r>
      <w:r>
        <w:rPr>
          <w:rFonts w:ascii="Times New Roman" w:hAnsi="Times New Roman"/>
          <w:b w:val="false"/>
          <w:i w:val="false"/>
          <w:color w:val="000000"/>
          <w:sz w:val="21"/>
        </w:rPr>
        <w:t>AND COSMETOLOGY ARTS AND SCIENCES</w:t>
      </w:r>
    </w:p>
    <w:p>
      <w:pPr>
        <w:spacing w:before="0" w:after="0"/>
        <w:ind w:left="120"/>
        <w:jc w:val="center"/>
      </w:pPr>
      <w:r>
        <w:rPr>
          <w:rFonts w:ascii="Times New Roman" w:hAnsi="Times New Roman"/>
          <w:b w:val="false"/>
          <w:i w:val="false"/>
          <w:color w:val="000000"/>
          <w:sz w:val="20"/>
        </w:rPr>
        <w:t>[Prior to 7/29/87, Health Department[470] Chs 149, 150]</w:t>
      </w:r>
    </w:p>
    <w:p>
      <w:pPr>
        <w:spacing w:before="0" w:after="0"/>
        <w:ind w:left="120"/>
        <w:jc w:val="center"/>
      </w:pPr>
      <w:r>
        <w:rPr>
          <w:rFonts w:ascii="Times New Roman" w:hAnsi="Times New Roman"/>
          <w:b w:val="false"/>
          <w:i w:val="false"/>
          <w:color w:val="000000"/>
          <w:sz w:val="20"/>
        </w:rPr>
        <w:t>[Prior to 9/18/24, see Professional Licensure Division[645] Ch 60]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481—940.1</w:t>
      </w:r>
      <w:r>
        <w:rPr>
          <w:rFonts w:ascii="Times New Roman" w:hAnsi="Times New Roman"/>
          <w:b/>
          <w:i w:val="false"/>
          <w:color w:val="000000"/>
          <w:sz w:val="22"/>
        </w:rPr>
        <w:t xml:space="preserve">(157)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included in Iowa Code sections </w:t>
      </w:r>
      <w:hyperlink r:id="rId5">
        <w:r>
          <w:rPr>
            <w:rStyle w:val="Hyperlink"/>
            <w:rFonts w:ascii="Times New Roman" w:hAnsi="Times New Roman"/>
            <w:b w:val="false"/>
            <w:i w:val="false"/>
            <w:color w:val="000000"/>
            <w:sz w:val="22"/>
          </w:rPr>
          <w:t>157.1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84D.2</w:t>
        </w:r>
      </w:hyperlink>
      <w:r>
        <w:rPr>
          <w:rFonts w:ascii="Times New Roman" w:hAnsi="Times New Roman"/>
          <w:b w:val="false"/>
          <w:i w:val="false"/>
          <w:color w:val="000000"/>
          <w:sz w:val="22"/>
        </w:rPr>
        <w:t xml:space="preserve"> and 29 Code of Federal Regulations (CFR) §29.5 as amended on December 19, 2016, the following definitions apply to terms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“Core curriculum”</w:t>
      </w:r>
      <w:r>
        <w:rPr>
          <w:rFonts w:ascii="Times New Roman" w:hAnsi="Times New Roman"/>
          <w:b w:val="false"/>
          <w:i w:val="false"/>
          <w:color w:val="000000"/>
          <w:sz w:val="22"/>
        </w:rPr>
        <w:t> </w:t>
      </w:r>
      <w:r>
        <w:rPr>
          <w:rFonts w:ascii="Times New Roman" w:hAnsi="Times New Roman"/>
          <w:b w:val="false"/>
          <w:i w:val="false"/>
          <w:color w:val="000000"/>
          <w:sz w:val="22"/>
        </w:rPr>
        <w:t>means the basic core life sciences curriculum that is required for completion of any course of study of barbering and cosmetology arts and sciences except for manicuring.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“Examination”</w:t>
      </w:r>
      <w:r>
        <w:rPr>
          <w:rFonts w:ascii="Times New Roman" w:hAnsi="Times New Roman"/>
          <w:b w:val="false"/>
          <w:i w:val="false"/>
          <w:color w:val="000000"/>
          <w:sz w:val="22"/>
        </w:rPr>
        <w:t> </w:t>
      </w:r>
      <w:r>
        <w:rPr>
          <w:rFonts w:ascii="Times New Roman" w:hAnsi="Times New Roman"/>
          <w:b w:val="false"/>
          <w:i w:val="false"/>
          <w:color w:val="000000"/>
          <w:sz w:val="22"/>
        </w:rPr>
        <w:t>means any of the tests used to determine minimum competency prior to the issuance of a barbering and cosmetology arts and sciences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“Grace period”</w:t>
      </w:r>
      <w:r>
        <w:rPr>
          <w:rFonts w:ascii="Times New Roman" w:hAnsi="Times New Roman"/>
          <w:b w:val="false"/>
          <w:i w:val="false"/>
          <w:color w:val="000000"/>
          <w:sz w:val="22"/>
        </w:rPr>
        <w:t>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“Legacy curriculum”</w:t>
      </w:r>
      <w:r>
        <w:rPr>
          <w:rFonts w:ascii="Times New Roman" w:hAnsi="Times New Roman"/>
          <w:b w:val="false"/>
          <w:i w:val="false"/>
          <w:color w:val="000000"/>
          <w:sz w:val="22"/>
        </w:rPr>
        <w:t> </w:t>
      </w:r>
      <w:r>
        <w:rPr>
          <w:rFonts w:ascii="Times New Roman" w:hAnsi="Times New Roman"/>
          <w:b w:val="false"/>
          <w:i w:val="false"/>
          <w:color w:val="000000"/>
          <w:sz w:val="22"/>
        </w:rPr>
        <w:t>means a course of study and curriculum offered by barbering schools or cosmetology arts and sciences schools that, as applicable, comply with the administrative rules issued by the Iowa board of barbering or by the Iowa board of cosmetology arts and sciences that were in effect on June 30,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or entity licensed to perform practice disciplines governed by the board of barbering and cosmetology arts and sciences pursuant to Iowa Code chapter </w:t>
      </w:r>
      <w:hyperlink r:id="rId7">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and 481—Chapters 940 through 946.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“Licensure by endorsement”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issuance of an Iowa license to practice barbering and cosmetology arts and sciences to an applicant who is or has been licensed in the District of Columbia or in another state, territory, province or foreign country and who has held an active license under the laws of such other jurisdiction for at least 12 months during the past 24 months.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“Mentor”</w:t>
      </w:r>
      <w:r>
        <w:rPr>
          <w:rFonts w:ascii="Times New Roman" w:hAnsi="Times New Roman"/>
          <w:b w:val="false"/>
          <w:i w:val="false"/>
          <w:color w:val="000000"/>
          <w:sz w:val="22"/>
        </w:rPr>
        <w:t> </w:t>
      </w:r>
      <w:r>
        <w:rPr>
          <w:rFonts w:ascii="Times New Roman" w:hAnsi="Times New Roman"/>
          <w:b w:val="false"/>
          <w:i w:val="false"/>
          <w:color w:val="000000"/>
          <w:sz w:val="22"/>
        </w:rPr>
        <w:t>means a licensee providing guidance in a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“Mentoring”</w:t>
      </w:r>
      <w:r>
        <w:rPr>
          <w:rFonts w:ascii="Times New Roman" w:hAnsi="Times New Roman"/>
          <w:b w:val="false"/>
          <w:i w:val="false"/>
          <w:color w:val="000000"/>
          <w:sz w:val="22"/>
        </w:rPr>
        <w:t> </w:t>
      </w:r>
      <w:r>
        <w:rPr>
          <w:rFonts w:ascii="Times New Roman" w:hAnsi="Times New Roman"/>
          <w:b w:val="false"/>
          <w:i w:val="false"/>
          <w:color w:val="000000"/>
          <w:sz w:val="22"/>
        </w:rPr>
        <w:t>means a program allowing students to experience barbering and cosmetology arts and sciences in a licensed establishment under the guidance of a mentor.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“NIC”</w:t>
      </w:r>
      <w:r>
        <w:rPr>
          <w:rFonts w:ascii="Times New Roman" w:hAnsi="Times New Roman"/>
          <w:b w:val="false"/>
          <w:i w:val="false"/>
          <w:color w:val="000000"/>
          <w:sz w:val="22"/>
        </w:rPr>
        <w:t> </w:t>
      </w:r>
      <w:r>
        <w:rPr>
          <w:rFonts w:ascii="Times New Roman" w:hAnsi="Times New Roman"/>
          <w:b w:val="false"/>
          <w:i w:val="false"/>
          <w:color w:val="000000"/>
          <w:sz w:val="22"/>
        </w:rPr>
        <w:t>means the National-Interstate Council of State Boards of Cosmetology, Inc.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“Pedicuring”</w:t>
      </w:r>
      <w:r>
        <w:rPr>
          <w:rFonts w:ascii="Times New Roman" w:hAnsi="Times New Roman"/>
          <w:b w:val="false"/>
          <w:i w:val="false"/>
          <w:color w:val="000000"/>
          <w:sz w:val="22"/>
        </w:rPr>
        <w:t> </w:t>
      </w:r>
      <w:r>
        <w:rPr>
          <w:rFonts w:ascii="Times New Roman" w:hAnsi="Times New Roman"/>
          <w:b w:val="false"/>
          <w:i w:val="false"/>
          <w:color w:val="000000"/>
          <w:sz w:val="22"/>
        </w:rPr>
        <w:t>means the practice of cleaning, shaping or polishing the toenails.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 discipline”</w:t>
      </w:r>
      <w:r>
        <w:rPr>
          <w:rFonts w:ascii="Times New Roman" w:hAnsi="Times New Roman"/>
          <w:b w:val="false"/>
          <w:i w:val="false"/>
          <w:color w:val="000000"/>
          <w:sz w:val="22"/>
        </w:rPr>
        <w:t> </w:t>
      </w:r>
      <w:r>
        <w:rPr>
          <w:rFonts w:ascii="Times New Roman" w:hAnsi="Times New Roman"/>
          <w:b w:val="false"/>
          <w:i w:val="false"/>
          <w:color w:val="000000"/>
          <w:sz w:val="22"/>
        </w:rPr>
        <w:t>means the practice of electrology, esthetics, nail technology, or barbering and cosmetology as recognized by the board of barbering and cosmetology arts and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“Prescribed practice”</w:t>
      </w:r>
      <w:r>
        <w:rPr>
          <w:rFonts w:ascii="Times New Roman" w:hAnsi="Times New Roman"/>
          <w:b w:val="false"/>
          <w:i w:val="false"/>
          <w:color w:val="000000"/>
          <w:sz w:val="22"/>
        </w:rPr>
        <w:t> </w:t>
      </w:r>
      <w:r>
        <w:rPr>
          <w:rFonts w:ascii="Times New Roman" w:hAnsi="Times New Roman"/>
          <w:b w:val="false"/>
          <w:i w:val="false"/>
          <w:color w:val="000000"/>
          <w:sz w:val="22"/>
        </w:rPr>
        <w:t>means an area of specialty certified by the board within the scope of barbering and cosmetology arts and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“reactivation”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8">
        <w:r>
          <w:rPr>
            <w:rStyle w:val="Hyperlink"/>
            <w:rFonts w:ascii="Times New Roman" w:hAnsi="Times New Roman"/>
            <w:b w:val="false"/>
            <w:i w:val="false"/>
            <w:color w:val="000000"/>
            <w:sz w:val="22"/>
          </w:rPr>
          <w:t>481—940.9</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9">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“Shaving”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manual removal of hair from the face, head or neck by cutting it close to the skin.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“Testing service”</w:t>
      </w:r>
      <w:r>
        <w:rPr>
          <w:rFonts w:ascii="Times New Roman" w:hAnsi="Times New Roman"/>
          <w:b w:val="false"/>
          <w:i w:val="false"/>
          <w:color w:val="000000"/>
          <w:sz w:val="22"/>
        </w:rPr>
        <w:t> </w:t>
      </w:r>
      <w:r>
        <w:rPr>
          <w:rFonts w:ascii="Times New Roman" w:hAnsi="Times New Roman"/>
          <w:b w:val="false"/>
          <w:i w:val="false"/>
          <w:color w:val="000000"/>
          <w:sz w:val="22"/>
        </w:rPr>
        <w:t>means a national testing service selected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481—940.2</w:t>
      </w:r>
      <w:r>
        <w:rPr>
          <w:rFonts w:ascii="Times New Roman" w:hAnsi="Times New Roman"/>
          <w:b/>
          <w:i w:val="false"/>
          <w:color w:val="000000"/>
          <w:sz w:val="22"/>
        </w:rPr>
        <w:t xml:space="preserve">(157) </w:t>
      </w:r>
      <w:r>
        <w:rPr>
          <w:rFonts w:ascii="Times New Roman" w:hAnsi="Times New Roman"/>
          <w:b/>
          <w:i w:val="false"/>
          <w:color w:val="000000"/>
          <w:sz w:val="22"/>
        </w:rPr>
        <w:t xml:space="preserve">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940.2(1)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licensure. </w:t>
      </w:r>
      <w:r>
        <w:rPr>
          <w:rFonts w:ascii="Times New Roman" w:hAnsi="Times New Roman"/>
          <w:b w:val="false"/>
          <w:i w:val="false"/>
          <w:color w:val="000000"/>
          <w:sz w:val="22"/>
        </w:rPr>
        <w:t>All persons providing services in one or more practice disciplines shall hold a license issued by the board. The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application and pay the nonrefundable fee specified in </w:t>
      </w:r>
      <w:hyperlink r:id="rId10">
        <w:r>
          <w:rPr>
            <w:rStyle w:val="Hyperlink"/>
            <w:rFonts w:ascii="Times New Roman" w:hAnsi="Times New Roman"/>
            <w:b w:val="false"/>
            <w:i w:val="false"/>
            <w:color w:val="000000"/>
            <w:sz w:val="22"/>
          </w:rPr>
          <w:t>481—subrule 507.5(1)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Demonstrate professional competence in one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who is licensed in another jurisdiction may complete the licensure by endorsement application. If the applicant is licensed in another jurisdiction as an electrologist, nail technologist or esthetician, then a successful applicant will receive a license in such practice discipline. If the applicant is licensed in another jurisdiction as a barber or as a cosmetologist, and the applicant is requesting licensure in the practice discipline of barbering and cosmetology, then a successful applicant will receive a license as a barber and cosmetologist. All applicants must provide a verification of license from the jurisdiction in which the applicant has most recently been licensed,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who is unable to satisfy the requirements of licensure by endorsement may apply for licensure by verification, if eligible, in accordance with rule </w:t>
      </w:r>
      <w:hyperlink r:id="rId11">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relocated to Iowa from a state that did not require licensure to practice the profession may submit proof of work experience in lieu of educational and training requirements, if eligible, in accordance with rule </w:t>
      </w:r>
      <w:hyperlink r:id="rId12">
        <w:r>
          <w:rPr>
            <w:rStyle w:val="Hyperlink"/>
            <w:rFonts w:ascii="Times New Roman" w:hAnsi="Times New Roman"/>
            <w:b w:val="false"/>
            <w:i w:val="false"/>
            <w:color w:val="000000"/>
            <w:sz w:val="22"/>
          </w:rPr>
          <w:t>481—501.2</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proof of completion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applicant graduated from a school that is licensed by the board, the applicant is to direct the educational program to submit to the board a diploma or an official transcript indicating date of graduation and completion of required hours in each practice discipline for which the applicant is requesting licensure.</w:t>
      </w:r>
    </w:p>
    <w:p>
      <w:pPr>
        <w:spacing w:before="0" w:after="0"/>
        <w:ind w:left="120"/>
        <w:jc w:val="both"/>
      </w:pPr>
      <w:r>
        <w:rPr>
          <w:rFonts w:ascii="Times New Roman" w:hAnsi="Times New Roman"/>
          <w:b w:val="false"/>
          <w:i w:val="false"/>
          <w:color w:val="000000"/>
          <w:sz w:val="22"/>
        </w:rPr>
        <w:t xml:space="preserve">If an applicant graduates from a licensed school after completing a course of study constituting a legacy curriculum as prescribed in </w:t>
      </w:r>
      <w:hyperlink r:id="rId13">
        <w:r>
          <w:rPr>
            <w:rStyle w:val="Hyperlink"/>
            <w:rFonts w:ascii="Times New Roman" w:hAnsi="Times New Roman"/>
            <w:b w:val="false"/>
            <w:i w:val="false"/>
            <w:color w:val="000000"/>
            <w:sz w:val="22"/>
          </w:rPr>
          <w:t>481—subrule 941.14(6)</w:t>
        </w:r>
      </w:hyperlink>
      <w:r>
        <w:rPr>
          <w:rFonts w:ascii="Times New Roman" w:hAnsi="Times New Roman"/>
          <w:b w:val="false"/>
          <w:i w:val="false"/>
          <w:color w:val="000000"/>
          <w:sz w:val="22"/>
        </w:rPr>
        <w:t>, such graduation will satisfy the education requirement for the applicable practice discipline for which the applicant is requesting licensure. For purposes of this subrule, a legacy curriculum in barbering or a legacy curriculum in cosmetology will be sufficient proof of education for an applicant requesting a license to practice barbering and cosmetology.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graduated from a school that is not licensed by the board, the applicant is to direct the school to provide an official transcript showing completion of a course of study that meets the requirements of rule </w:t>
      </w:r>
      <w:hyperlink r:id="rId14">
        <w:r>
          <w:rPr>
            <w:rStyle w:val="Hyperlink"/>
            <w:rFonts w:ascii="Times New Roman" w:hAnsi="Times New Roman"/>
            <w:b w:val="false"/>
            <w:i w:val="false"/>
            <w:color w:val="000000"/>
            <w:sz w:val="22"/>
          </w:rPr>
          <w:t>481—941.14</w:t>
        </w:r>
      </w:hyperlink>
      <w:r>
        <w:rPr>
          <w:rFonts w:ascii="Times New Roman" w:hAnsi="Times New Roman"/>
          <w:b w:val="false"/>
          <w:i w:val="false"/>
          <w:color w:val="000000"/>
          <w:sz w:val="22"/>
        </w:rPr>
        <w:t>(157).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has graduated from an apprenticeship program, the applicant must direct the Iowa office of apprenticeship registered apprenticeship program to submit a 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was educated outside the United States, the applicant is to attach an original evaluation of the applicant’s education from any accredited evaluation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940.2(2)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an instructor’s license. </w:t>
      </w:r>
      <w:r>
        <w:rPr>
          <w:rFonts w:ascii="Times New Roman" w:hAnsi="Times New Roman"/>
          <w:b w:val="false"/>
          <w:i w:val="false"/>
          <w:color w:val="000000"/>
          <w:sz w:val="22"/>
        </w:rPr>
        <w:t>An applicant for an instructor’s license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 completed application for licensure and the appropriate fee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licensed in the state of Iowa in the prescribed practice discipline to be taught or be licensed as a barber and cosmetologist who possesses the skill and knowledge required to instruct in that practice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documentation of completion of 1,000 hours of instructor’s training or two years’ active practice in the field of barbering and cosmetology, esthetics, electrology, or nail technology within six years prior to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an instructor of electrology license, submit proof of 60 hours of practical experience, excluding school hours, in the area of electrolysis prior to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Pass an instructor’s national examination, which, effective January 1, 2008, shall be the NIC instructor examination unless the applicant is applying for an instructor’s license by endorsement as outlined in paragraph </w:t>
      </w:r>
      <w:hyperlink r:id="rId15">
        <w:r>
          <w:rPr>
            <w:rStyle w:val="Hyperlink"/>
            <w:rFonts w:ascii="Times New Roman" w:hAnsi="Times New Roman"/>
            <w:b w:val="false"/>
            <w:i w:val="false"/>
            <w:color w:val="000000"/>
            <w:sz w:val="22"/>
          </w:rPr>
          <w:t>60.2(1)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940.2(3)</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following conditions apply for all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shall be considered invalid and shall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initial licenses within six months prior to the license renewal beginning date are not required to renew their licenses until the renewal month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may issue a single license number and expiration date to licensees who hold licenses in multiple practice disciplines.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481—940.3</w:t>
      </w:r>
      <w:r>
        <w:rPr>
          <w:rFonts w:ascii="Times New Roman" w:hAnsi="Times New Roman"/>
          <w:b/>
          <w:i w:val="false"/>
          <w:color w:val="000000"/>
          <w:sz w:val="22"/>
        </w:rPr>
        <w:t xml:space="preserve">(157) </w:t>
      </w:r>
      <w:r>
        <w:rPr>
          <w:rFonts w:ascii="Times New Roman" w:hAnsi="Times New Roman"/>
          <w:b/>
          <w:i w:val="false"/>
          <w:color w:val="000000"/>
          <w:sz w:val="22"/>
        </w:rPr>
        <w:t xml:space="preserve">Examination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940.3(1)</w:t>
      </w:r>
      <w:r>
        <w:rPr>
          <w:rFonts w:ascii="Times New Roman" w:hAnsi="Times New Roman"/>
          <w:b w:val="false"/>
          <w:i w:val="false"/>
          <w:color w:val="000000"/>
          <w:sz w:val="22"/>
        </w:rPr>
        <w:t> </w:t>
      </w:r>
      <w:r>
        <w:rPr>
          <w:rFonts w:ascii="Times New Roman" w:hAnsi="Times New Roman"/>
          <w:b w:val="false"/>
          <w:i w:val="false"/>
          <w:color w:val="000000"/>
          <w:sz w:val="22"/>
        </w:rPr>
        <w:t>An applicant shall pass a national examination prescribed by the board for the particular practice discipline with a score of 75 percent or greater.</w:t>
      </w:r>
    </w:p>
    <w:p>
      <w:pPr>
        <w:spacing w:before="0" w:after="0"/>
        <w:ind w:left="120"/>
        <w:jc w:val="both"/>
      </w:pPr>
      <w:r>
        <w:rPr>
          <w:rFonts w:ascii="Times New Roman" w:hAnsi="Times New Roman"/>
          <w:b w:val="false"/>
          <w:i w:val="false"/>
          <w:color w:val="000000"/>
          <w:sz w:val="22"/>
        </w:rPr>
        <w:t>The applicant shall submit the test registration fee directly to the test service. NIC examinations are administered according to guidelines set forth by the NIC.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940.3(2)</w:t>
      </w:r>
      <w:r>
        <w:rPr>
          <w:rFonts w:ascii="Times New Roman" w:hAnsi="Times New Roman"/>
          <w:b w:val="false"/>
          <w:i w:val="false"/>
          <w:color w:val="000000"/>
          <w:sz w:val="22"/>
        </w:rPr>
        <w:t> </w:t>
      </w:r>
      <w:r>
        <w:rPr>
          <w:rFonts w:ascii="Times New Roman" w:hAnsi="Times New Roman"/>
          <w:b w:val="false"/>
          <w:i w:val="false"/>
          <w:color w:val="000000"/>
          <w:sz w:val="22"/>
        </w:rPr>
        <w:t>If applying for licensure by endorsement, an applicant who graduated from a barber or cosmetology school prior to January 1, 2000, shall have passed the state written and practical examination required by the state in which the applicant was originally licensed.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940.3(3)</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barber or cosmetology school after January 1, 2000, shall have passed a national theory examination for the discipline in which the applicant seeks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940.3(4)</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the barbering and cosmetology license who graduated from a barber or cosmetology school after July 1, 2023, shall have passed a national theory examination. Shaving with a razor requires additional certification by the board.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481—940.4</w:t>
      </w:r>
      <w:r>
        <w:rPr>
          <w:rFonts w:ascii="Times New Roman" w:hAnsi="Times New Roman"/>
          <w:b/>
          <w:i w:val="false"/>
          <w:color w:val="000000"/>
          <w:sz w:val="22"/>
        </w:rPr>
        <w:t xml:space="preserve">(157) </w:t>
      </w:r>
      <w:r>
        <w:rPr>
          <w:rFonts w:ascii="Times New Roman" w:hAnsi="Times New Roman"/>
          <w:b/>
          <w:i w:val="false"/>
          <w:color w:val="000000"/>
          <w:sz w:val="22"/>
        </w:rPr>
        <w:t xml:space="preserve">Criteria for licensure in prescribed practice disciplines.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940.4(1)</w:t>
      </w:r>
      <w:r>
        <w:rPr>
          <w:rFonts w:ascii="Times New Roman" w:hAnsi="Times New Roman"/>
          <w:b w:val="false"/>
          <w:i w:val="false"/>
          <w:color w:val="000000"/>
          <w:sz w:val="22"/>
        </w:rPr>
        <w:t> </w:t>
      </w:r>
      <w:r>
        <w:rPr>
          <w:rFonts w:ascii="Times New Roman" w:hAnsi="Times New Roman"/>
          <w:b w:val="false"/>
          <w:i w:val="false"/>
          <w:color w:val="000000"/>
          <w:sz w:val="22"/>
        </w:rPr>
        <w:t>A barbering and cosmetology license is not a requirement for an electrology, esthetics, or nail technology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940.4(2)</w:t>
      </w:r>
      <w:r>
        <w:rPr>
          <w:rFonts w:ascii="Times New Roman" w:hAnsi="Times New Roman"/>
          <w:b w:val="false"/>
          <w:i w:val="false"/>
          <w:color w:val="000000"/>
          <w:sz w:val="22"/>
        </w:rPr>
        <w:t> </w:t>
      </w:r>
      <w:r>
        <w:rPr>
          <w:rFonts w:ascii="Times New Roman" w:hAnsi="Times New Roman"/>
          <w:b w:val="false"/>
          <w:i w:val="false"/>
          <w:color w:val="000000"/>
          <w:sz w:val="22"/>
        </w:rPr>
        <w:t>Core life sciences curriculum hours shall be transferable in their entirety from one practice discipline to another practice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940.4(3)</w:t>
      </w:r>
      <w:r>
        <w:rPr>
          <w:rFonts w:ascii="Times New Roman" w:hAnsi="Times New Roman"/>
          <w:b w:val="false"/>
          <w:i w:val="false"/>
          <w:color w:val="000000"/>
          <w:sz w:val="22"/>
        </w:rPr>
        <w:t> </w:t>
      </w:r>
      <w:r>
        <w:rPr>
          <w:rFonts w:ascii="Times New Roman" w:hAnsi="Times New Roman"/>
          <w:b w:val="false"/>
          <w:i w:val="false"/>
          <w:color w:val="000000"/>
          <w:sz w:val="22"/>
        </w:rPr>
        <w:t>Theory hours earned in each practice discipline of barbering and cosmetology arts and sciences may be used in applying for a barbering and cosmetology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940.4(4)</w:t>
      </w:r>
      <w:r>
        <w:rPr>
          <w:rFonts w:ascii="Times New Roman" w:hAnsi="Times New Roman"/>
          <w:b w:val="false"/>
          <w:i w:val="false"/>
          <w:color w:val="000000"/>
          <w:sz w:val="22"/>
        </w:rPr>
        <w:t> </w:t>
      </w:r>
      <w:r>
        <w:rPr>
          <w:rFonts w:ascii="Times New Roman" w:hAnsi="Times New Roman"/>
          <w:b w:val="false"/>
          <w:i w:val="false"/>
          <w:color w:val="000000"/>
          <w:sz w:val="22"/>
        </w:rPr>
        <w:t>A barber and cosmetologist licensed after July 1, 2005, is not eligible to be certified in chemical peels, microdermabrasion, laser or intense pulsed light (IPL) and shall not provide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940.4(5)</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must hold a shaving certificate, or the license will be restricted from the practice of shaving. An individual who was licensed as an Iowa barber prior to July 1, 2023, is not required to hold a shaving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940.4(6)</w:t>
      </w:r>
      <w:r>
        <w:rPr>
          <w:rFonts w:ascii="Times New Roman" w:hAnsi="Times New Roman"/>
          <w:b w:val="false"/>
          <w:i w:val="false"/>
          <w:color w:val="000000"/>
          <w:sz w:val="22"/>
        </w:rPr>
        <w:t> </w:t>
      </w:r>
      <w:r>
        <w:rPr>
          <w:rFonts w:ascii="Times New Roman" w:hAnsi="Times New Roman"/>
          <w:b w:val="false"/>
          <w:i w:val="false"/>
          <w:color w:val="000000"/>
          <w:sz w:val="22"/>
        </w:rPr>
        <w:t xml:space="preserve">Pedicuring shall only be done by a licensee who possesses the skill and knowledge required to perform the service in a professionally competent manner in compliance with </w:t>
      </w:r>
      <w:hyperlink r:id="rId16">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940.4(7)</w:t>
      </w:r>
      <w:r>
        <w:rPr>
          <w:rFonts w:ascii="Times New Roman" w:hAnsi="Times New Roman"/>
          <w:b w:val="false"/>
          <w:i w:val="false"/>
          <w:color w:val="000000"/>
          <w:sz w:val="22"/>
        </w:rPr>
        <w:t> </w:t>
      </w:r>
      <w:r>
        <w:rPr>
          <w:rFonts w:ascii="Times New Roman" w:hAnsi="Times New Roman"/>
          <w:b w:val="false"/>
          <w:i w:val="false"/>
          <w:color w:val="000000"/>
          <w:sz w:val="22"/>
        </w:rPr>
        <w:t xml:space="preserve">Waxing shall only be done by a licensee who possesses the skill and knowledge required to perform the service in a professionally competent manner in compliance with </w:t>
      </w:r>
      <w:hyperlink r:id="rId17">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940.4(8)</w:t>
      </w:r>
      <w:r>
        <w:rPr>
          <w:rFonts w:ascii="Times New Roman" w:hAnsi="Times New Roman"/>
          <w:b w:val="false"/>
          <w:i w:val="false"/>
          <w:color w:val="000000"/>
          <w:sz w:val="22"/>
        </w:rPr>
        <w:t> </w:t>
      </w:r>
      <w:r>
        <w:rPr>
          <w:rFonts w:ascii="Times New Roman" w:hAnsi="Times New Roman"/>
          <w:b w:val="false"/>
          <w:i w:val="false"/>
          <w:color w:val="000000"/>
          <w:sz w:val="22"/>
        </w:rPr>
        <w:t>An initial license to practice manicuring shall not be issued by the board after December 31, 2007. A manicurist license issued on or before December 31, 2007, may be renewed subject to licensure requirements identified by statute and administrative rule unless the license becomes inactive. A manicurist license that becomes inactive cannot be reactivated or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940.4(9)</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previously licensed as a barber prior to July 1, 2024, pursuant to </w:t>
      </w:r>
      <w:hyperlink r:id="rId18">
        <w:r>
          <w:rPr>
            <w:rStyle w:val="Hyperlink"/>
            <w:rFonts w:ascii="Times New Roman" w:hAnsi="Times New Roman"/>
            <w:b w:val="false"/>
            <w:i w:val="false"/>
            <w:color w:val="000000"/>
            <w:sz w:val="22"/>
          </w:rPr>
          <w:t>645—Chapter 21</w:t>
        </w:r>
      </w:hyperlink>
      <w:r>
        <w:rPr>
          <w:rFonts w:ascii="Times New Roman" w:hAnsi="Times New Roman"/>
          <w:b w:val="false"/>
          <w:i w:val="false"/>
          <w:color w:val="000000"/>
          <w:sz w:val="22"/>
        </w:rPr>
        <w:t xml:space="preserve"> will, upon successful renewal of such license, receive a barbering and cosmetology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940.4(10)</w:t>
      </w:r>
      <w:r>
        <w:rPr>
          <w:rFonts w:ascii="Times New Roman" w:hAnsi="Times New Roman"/>
          <w:b w:val="false"/>
          <w:i w:val="false"/>
          <w:color w:val="000000"/>
          <w:sz w:val="22"/>
        </w:rPr>
        <w:t> </w:t>
      </w:r>
      <w:r>
        <w:rPr>
          <w:rFonts w:ascii="Times New Roman" w:hAnsi="Times New Roman"/>
          <w:b w:val="false"/>
          <w:i w:val="false"/>
          <w:color w:val="000000"/>
          <w:sz w:val="22"/>
        </w:rPr>
        <w:t>Any person previously licensed as a cosmetologist prior to July 1, 2024, pursuant to this chapter will, upon successful renewal of such license, receive a barbering and cosmetology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481—940.5</w:t>
      </w:r>
      <w:r>
        <w:rPr>
          <w:rFonts w:ascii="Times New Roman" w:hAnsi="Times New Roman"/>
          <w:b/>
          <w:i w:val="false"/>
          <w:color w:val="000000"/>
          <w:sz w:val="22"/>
        </w:rPr>
        <w:t xml:space="preserve">(157) </w:t>
      </w:r>
      <w:r>
        <w:rPr>
          <w:rFonts w:ascii="Times New Roman" w:hAnsi="Times New Roman"/>
          <w:b/>
          <w:i w:val="false"/>
          <w:color w:val="000000"/>
          <w:sz w:val="22"/>
        </w:rPr>
        <w:t xml:space="preserve">Prescribed practice training requirements. </w:t>
      </w:r>
      <w:r>
        <w:rPr>
          <w:rFonts w:ascii="Times New Roman" w:hAnsi="Times New Roman"/>
          <w:b w:val="false"/>
          <w:i w:val="false"/>
          <w:color w:val="000000"/>
          <w:sz w:val="22"/>
        </w:rPr>
        <w:t xml:space="preserve">As outlined below, the board may approve a licensee to provide the prescribed practice services of shaving, microdermabrasion, chemical exfoliation, laser services, and IPL hair removal treatments once a licensee has complied with training requirements and submitted a completed application, the required supporting evidence, and applicable fees as specified in these rules. The applicant shall receive a certification following board approval. Machine-, product-, model- or device-specific certifications do not need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940.5(1)</w:t>
      </w:r>
      <w:r>
        <w:rPr>
          <w:rFonts w:ascii="Times New Roman" w:hAnsi="Times New Roman"/>
          <w:b w:val="false"/>
          <w:i w:val="false"/>
          <w:color w:val="000000"/>
          <w:sz w:val="22"/>
        </w:rPr>
        <w:t> </w:t>
      </w:r>
      <w:r>
        <w:rPr>
          <w:rFonts w:ascii="Times New Roman" w:hAnsi="Times New Roman"/>
          <w:b w:val="false"/>
          <w:i w:val="false"/>
          <w:color w:val="000000"/>
          <w:sz w:val="22"/>
        </w:rPr>
        <w:t>Shaving for hair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Shaving shall only be performed by a barber and cosmetologist who is certified by the board to perform those services. A barber licensed before July 1, 2023, is exempt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Shaving shall only be used for hair removal on the scalp, face or neck.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order to receive board certification and be eligible to perform shaving for hair removal services, the licensee must complete a shaving program or pass an exam as outlined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evidence of passing the NIC barber practical exam or a national barber practical exam,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a 40-hour shaving program from an Iowa licensed school, or a program sponsored by an Iowa licensed school, that is conducted by a licensed instructor who has specialized education, training and experience by reason of which said licensed instructor should be considered qualified concerning the subject matter of the program, then: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 from the program a certification of training that contains the following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Date, location, and course title;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Name and license number of the instructor;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Name and license number of the school;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Number of contact hours;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Evidence that the training program includes a safety training component that provides a thorough understanding of the procedures to be performed. The training program shall address fundamentals of skin care, blood-borne pathogens and infection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 board-approved certification application form and submit to the board office the completed form, a copy of the certification of training, and the required fee pursuant to </w:t>
      </w:r>
      <w:hyperlink r:id="rId19">
        <w:r>
          <w:rPr>
            <w:rStyle w:val="Hyperlink"/>
            <w:rFonts w:ascii="Times New Roman" w:hAnsi="Times New Roman"/>
            <w:b w:val="false"/>
            <w:i w:val="false"/>
            <w:color w:val="000000"/>
            <w:sz w:val="22"/>
          </w:rPr>
          <w:t>481—subrule 507.5(14)</w:t>
        </w:r>
      </w:hyperlink>
      <w:r>
        <w:rPr>
          <w:rFonts w:ascii="Times New Roman" w:hAnsi="Times New Roman"/>
          <w:b w:val="false"/>
          <w:i w:val="false"/>
          <w:color w:val="000000"/>
          <w:sz w:val="22"/>
        </w:rPr>
        <w:t>. The fee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940.5(2)</w:t>
      </w:r>
      <w:r>
        <w:rPr>
          <w:rFonts w:ascii="Times New Roman" w:hAnsi="Times New Roman"/>
          <w:b w:val="false"/>
          <w:i w:val="false"/>
          <w:color w:val="000000"/>
          <w:sz w:val="22"/>
        </w:rPr>
        <w:t> </w:t>
      </w:r>
      <w:r>
        <w:rPr>
          <w:rFonts w:ascii="Times New Roman" w:hAnsi="Times New Roman"/>
          <w:b w:val="false"/>
          <w:i w:val="false"/>
          <w:color w:val="000000"/>
          <w:sz w:val="22"/>
        </w:rPr>
        <w:t>Microdermabrasion.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Microdermabrasion shall only be performed by a licensed, certified esthetician or a cosmetologist who was licensed prior to July 1, 2005, and is certified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be eligible to perform microdermabrasion services,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14 contact hours of education specific to the material or apparatus used for microdermabrasion. Before an additional material or apparatus is utilized in the licensee’s practice, the licensee shall provide official certification of training on the material or apparatus.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 from the program a certification of training that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and course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Specific identifying description of the microdermabrasion machine covered by the course;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Evidence that the training program includes a safety training component that provides a thorough understanding of the procedures to be performed. The training program shall address fundamentals of potential hazards, management and employee responsibilities relating to control measures, and regulatory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 board-approved certification application form and submit to the board office the completed form, a copy of the certification of training, and the required fee pursuant to </w:t>
      </w:r>
      <w:hyperlink r:id="rId20">
        <w:r>
          <w:rPr>
            <w:rStyle w:val="Hyperlink"/>
            <w:rFonts w:ascii="Times New Roman" w:hAnsi="Times New Roman"/>
            <w:b w:val="false"/>
            <w:i w:val="false"/>
            <w:color w:val="000000"/>
            <w:sz w:val="22"/>
          </w:rPr>
          <w:t>481—subrule 507.5(14)</w:t>
        </w:r>
      </w:hyperlink>
      <w:r>
        <w:rPr>
          <w:rFonts w:ascii="Times New Roman" w:hAnsi="Times New Roman"/>
          <w:b w:val="false"/>
          <w:i w:val="false"/>
          <w:color w:val="000000"/>
          <w:sz w:val="22"/>
        </w:rPr>
        <w:t>. The fee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940.5(3)</w:t>
      </w:r>
      <w:r>
        <w:rPr>
          <w:rFonts w:ascii="Times New Roman" w:hAnsi="Times New Roman"/>
          <w:b w:val="false"/>
          <w:i w:val="false"/>
          <w:color w:val="000000"/>
          <w:sz w:val="22"/>
        </w:rPr>
        <w:t> </w:t>
      </w:r>
      <w:r>
        <w:rPr>
          <w:rFonts w:ascii="Times New Roman" w:hAnsi="Times New Roman"/>
          <w:b w:val="false"/>
          <w:i w:val="false"/>
          <w:color w:val="000000"/>
          <w:sz w:val="22"/>
        </w:rPr>
        <w:t>Chemical exfoliation.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Chemical exfoliation shall only be performed by a cosmetologist who was licensed prior to July 1, 2005, and is certified by the board to perform those services. Additional certification is not required for licensed estheticians.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Chemical exfoliation procedures are limited to the removal of surface epidermal cells of the skin by using only non-medical-strength cosmetic preparations consistent with labeled instructions and as specified by these rules. This procedure is not intended to elicit viable epidermal or dermal wounding, injury, or destruction.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be eligible to perform chemical peels, a cosmetologist who was licensed prior to July 1, 2005,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21 hours of training specific to the process and products to be used for chemical peels. Before an additional process or product is utilized in the licensee’s practice, the licensee shall provide official certification of training on the new process or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 from the program a certification of training that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and course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Specific identifying description of the chemical peel process and products covered by the course;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Evidence that the training program includes a safety training component that provides a thorough understanding of the procedures to be performed. The training program shall address fundamentals of potential hazards, management and employee responsibilities relating to control measures, and regulatory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 board-approved certification application form and submit to the board office the completed form, a copy of the certification of training, and the required fee pursuant to </w:t>
      </w:r>
      <w:hyperlink r:id="rId21">
        <w:r>
          <w:rPr>
            <w:rStyle w:val="Hyperlink"/>
            <w:rFonts w:ascii="Times New Roman" w:hAnsi="Times New Roman"/>
            <w:b w:val="false"/>
            <w:i w:val="false"/>
            <w:color w:val="000000"/>
            <w:sz w:val="22"/>
          </w:rPr>
          <w:t>481—subrule 507.5(15)</w:t>
        </w:r>
      </w:hyperlink>
      <w:r>
        <w:rPr>
          <w:rFonts w:ascii="Times New Roman" w:hAnsi="Times New Roman"/>
          <w:b w:val="false"/>
          <w:i w:val="false"/>
          <w:color w:val="000000"/>
          <w:sz w:val="22"/>
        </w:rPr>
        <w:t>. The fee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940.5(4)</w:t>
      </w:r>
      <w:r>
        <w:rPr>
          <w:rFonts w:ascii="Times New Roman" w:hAnsi="Times New Roman"/>
          <w:b w:val="false"/>
          <w:i w:val="false"/>
          <w:color w:val="000000"/>
          <w:sz w:val="22"/>
        </w:rPr>
        <w:t> </w:t>
      </w:r>
      <w:r>
        <w:rPr>
          <w:rFonts w:ascii="Times New Roman" w:hAnsi="Times New Roman"/>
          <w:b w:val="false"/>
          <w:i w:val="false"/>
          <w:color w:val="000000"/>
          <w:sz w:val="22"/>
        </w:rPr>
        <w:t>Laser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cosmetologist licensed after July 1, 2005, shall not use laser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electrologist shall only provide hair removal services when using a laser.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Estheticians and cosmetologists shall use a laser for cosmetic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Cosmetologists licensed prior to July 1, 2005, electrologists and estheticians must be certified to perform laser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laser service is provided to a minor by a licensed cosmetologist, esthetician or electrologist who has been certified by the board, the licensee shall work under the general supervision of a physician. The parent or guardian shall sign a consent form prior to services being provided. Written permission shall remain in the client’s permanent record for a period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be eligible to perform laser services, a cosmetologist who was licensed on or before July 1, 2005, an electrologist, or an esthetician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40 hours of training specific to each laser machine, model or device to be used for laser services. Before an additional machine, model or device is utilized in the licensee’s practice, the licensee shall submit official certification of training on the new machine, model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 from the program a certification of training that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and course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contact hours specific to the laser machine, model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 of the approved manufacturer or institute of laser technology that provided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Specific identifying description of the laser equipment;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Evidence that the training program includes a safety training component that provides a thorough understanding of the procedures to be performed. The training program shall address fundamentals of nonbeam hazards, management and employee responsibilities relating to control measures, and regulatory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 board-approved certification application form and submit to the board office the completed form, a copy of the certification of training, and the required fee pursuant to </w:t>
      </w:r>
      <w:hyperlink r:id="rId22">
        <w:r>
          <w:rPr>
            <w:rStyle w:val="Hyperlink"/>
            <w:rFonts w:ascii="Times New Roman" w:hAnsi="Times New Roman"/>
            <w:b w:val="false"/>
            <w:i w:val="false"/>
            <w:color w:val="000000"/>
            <w:sz w:val="22"/>
          </w:rPr>
          <w:t>481—subrule 507.5(14)</w:t>
        </w:r>
      </w:hyperlink>
      <w:r>
        <w:rPr>
          <w:rFonts w:ascii="Times New Roman" w:hAnsi="Times New Roman"/>
          <w:b w:val="false"/>
          <w:i w:val="false"/>
          <w:color w:val="000000"/>
          <w:sz w:val="22"/>
        </w:rPr>
        <w:t>. The fee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940.5(5)</w:t>
      </w:r>
      <w:r>
        <w:rPr>
          <w:rFonts w:ascii="Times New Roman" w:hAnsi="Times New Roman"/>
          <w:b w:val="false"/>
          <w:i w:val="false"/>
          <w:color w:val="000000"/>
          <w:sz w:val="22"/>
        </w:rPr>
        <w:t> </w:t>
      </w:r>
      <w:r>
        <w:rPr>
          <w:rFonts w:ascii="Times New Roman" w:hAnsi="Times New Roman"/>
          <w:b w:val="false"/>
          <w:i w:val="false"/>
          <w:color w:val="000000"/>
          <w:sz w:val="22"/>
        </w:rPr>
        <w:t>IPL hair removal 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cosmetologist licensed after July 1, 2005, shall not use IPL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IPL device shall only be used for hair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Cosmetologists licensed prior to July 1, 2005, electrologists and estheticians must be certified to perform IPL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IPL hair removal services are provided to a minor by a licensed cosmetologist, esthetician or electrologist who has been certified by the board, the licensee shall work under the general supervision of a physician. The parent or guardian shall sign a consent form prior to services being provided. Written permission shall remain in the client’s permanent record for a period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be eligible to perform IPL hair removal services, a cosmetologist who was licensed on or before July 1, 2005, an electrologist, or an esthetician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40 hours of training specific to each IPL machine, model or device to be used for IPL hair removal services. Before an additional machine, model or device is utilized in the licensee’s practice, the licensee shall submit official certification of training on the new machine, model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 from the program a certification of training that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and course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contact hours specific to the laser machine, model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 of the approved manufacturer or institute of laser technology that provided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Specific identifying description of the IPL hair removal equipment;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Evidence that the training program includes a safety training component that provides a thorough understanding of the procedures to be performed. The training program shall address fundamentals of nonbeam hazards, management and employee responsibilities relating to control measures, and regulatory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 board-approved certification application form and submit to the board office the completed form, a copy of the certification of training, and the required fee pursuant to </w:t>
      </w:r>
      <w:hyperlink r:id="rId23">
        <w:r>
          <w:rPr>
            <w:rStyle w:val="Hyperlink"/>
            <w:rFonts w:ascii="Times New Roman" w:hAnsi="Times New Roman"/>
            <w:b w:val="false"/>
            <w:i w:val="false"/>
            <w:color w:val="000000"/>
            <w:sz w:val="22"/>
          </w:rPr>
          <w:t>481—subrule 507.5(14)</w:t>
        </w:r>
      </w:hyperlink>
      <w:r>
        <w:rPr>
          <w:rFonts w:ascii="Times New Roman" w:hAnsi="Times New Roman"/>
          <w:b w:val="false"/>
          <w:i w:val="false"/>
          <w:color w:val="000000"/>
          <w:sz w:val="22"/>
        </w:rPr>
        <w:t>. The fee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940.5(6)</w:t>
      </w:r>
      <w:r>
        <w:rPr>
          <w:rFonts w:ascii="Times New Roman" w:hAnsi="Times New Roman"/>
          <w:b w:val="false"/>
          <w:i w:val="false"/>
          <w:color w:val="000000"/>
          <w:sz w:val="22"/>
        </w:rPr>
        <w:t> </w:t>
      </w:r>
      <w:r>
        <w:rPr>
          <w:rFonts w:ascii="Times New Roman" w:hAnsi="Times New Roman"/>
          <w:b w:val="false"/>
          <w:i w:val="false"/>
          <w:color w:val="000000"/>
          <w:sz w:val="22"/>
        </w:rPr>
        <w:t>Health history and incident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providing laser or IPL hair removal, microdermabrasion or chemical peel services, the cosmetologist, esthetician, and electrologist shall complete a client health history of conditions related to the application for services and include it with the client’s records. The history shall include but is not limited to items listed in paragraph </w:t>
      </w:r>
      <w:hyperlink r:id="rId24">
        <w:r>
          <w:rPr>
            <w:rStyle w:val="Hyperlink"/>
            <w:rFonts w:ascii="Times New Roman" w:hAnsi="Times New Roman"/>
            <w:b w:val="false"/>
            <w:i w:val="false"/>
            <w:color w:val="000000"/>
            <w:sz w:val="22"/>
          </w:rPr>
          <w:t>60.5(6)</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licensed cosmetologist, esthetician, or electrologist who provides services related to the use of a certified laser product, IPL device, chemical peel, or microdermabrasion shall submit a report to the board within 30 days of any incident in which provision of such services resulted in physical injury requiring medical attention. Failure to comply with this requirement shall result in disciplinary action by the board. The report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physical condition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any adverse occurrence,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Symptoms of any complications including, but not limited to, onset and type of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services provided that caused the adverse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procedure that was followed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client’s condition on termination of any procedures undertaken;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client is referred to a physician, a statement providing the physician’s name and office location,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copy of the consent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940.5(7)</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Failure to comply with paragraph </w:t>
      </w:r>
      <w:hyperlink r:id="rId25">
        <w:r>
          <w:rPr>
            <w:rStyle w:val="Hyperlink"/>
            <w:rFonts w:ascii="Times New Roman" w:hAnsi="Times New Roman"/>
            <w:b w:val="false"/>
            <w:i w:val="false"/>
            <w:color w:val="000000"/>
            <w:sz w:val="22"/>
          </w:rPr>
          <w:t>60.5(6)</w:t>
        </w:r>
        <w:r>
          <w:rPr>
            <w:rFonts w:ascii="Times New Roman" w:hAnsi="Times New Roman"/>
            <w:b w:val="false"/>
            <w:i/>
            <w:color w:val="000000"/>
            <w:sz w:val="22"/>
          </w:rPr>
          <w:t>“b”</w:t>
        </w:r>
      </w:hyperlink>
      <w:r>
        <w:rPr>
          <w:rFonts w:ascii="Times New Roman" w:hAnsi="Times New Roman"/>
          <w:b w:val="false"/>
          <w:i w:val="false"/>
          <w:color w:val="000000"/>
          <w:sz w:val="22"/>
        </w:rPr>
        <w:t xml:space="preserve"> when the adverse occurrence is related to the use of any procedure or device noted in the attestation may result in the licensee’s loss of authorization to administer the procedure or device noted in the attestation or may result in other sanctions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940.5(8)</w:t>
      </w:r>
      <w:r>
        <w:rPr>
          <w:rFonts w:ascii="Times New Roman" w:hAnsi="Times New Roman"/>
          <w:b w:val="false"/>
          <w:i w:val="false"/>
          <w:color w:val="000000"/>
          <w:sz w:val="22"/>
        </w:rPr>
        <w:t> </w:t>
      </w:r>
      <w:r>
        <w:rPr>
          <w:rFonts w:ascii="Times New Roman" w:hAnsi="Times New Roman"/>
          <w:b w:val="false"/>
          <w:i w:val="false"/>
          <w:color w:val="000000"/>
          <w:sz w:val="22"/>
        </w:rPr>
        <w:t>A licensee shall not provide any services that constitute the practice of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481—940.6</w:t>
      </w:r>
      <w:r>
        <w:rPr>
          <w:rFonts w:ascii="Times New Roman" w:hAnsi="Times New Roman"/>
          <w:b/>
          <w:i w:val="false"/>
          <w:color w:val="000000"/>
          <w:sz w:val="22"/>
        </w:rPr>
        <w:t xml:space="preserve">(157) </w:t>
      </w:r>
      <w:r>
        <w:rPr>
          <w:rFonts w:ascii="Times New Roman" w:hAnsi="Times New Roman"/>
          <w:b/>
          <w:i w:val="false"/>
          <w:color w:val="000000"/>
          <w:sz w:val="22"/>
        </w:rPr>
        <w:t xml:space="preserve">Licensure restrictions relating to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940.6(1)</w:t>
      </w:r>
      <w:r>
        <w:rPr>
          <w:rFonts w:ascii="Times New Roman" w:hAnsi="Times New Roman"/>
          <w:b w:val="false"/>
          <w:i w:val="false"/>
          <w:color w:val="000000"/>
          <w:sz w:val="22"/>
        </w:rPr>
        <w:t> </w:t>
      </w:r>
      <w:r>
        <w:rPr>
          <w:rFonts w:ascii="Times New Roman" w:hAnsi="Times New Roman"/>
          <w:b w:val="false"/>
          <w:i w:val="false"/>
          <w:color w:val="000000"/>
          <w:sz w:val="22"/>
        </w:rPr>
        <w:t>A certified laser product or an intense pulsed light device shall only be used on surface epidermal layers of the skin except for hair removal.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940.6(2)</w:t>
      </w:r>
      <w:r>
        <w:rPr>
          <w:rFonts w:ascii="Times New Roman" w:hAnsi="Times New Roman"/>
          <w:b w:val="false"/>
          <w:i w:val="false"/>
          <w:color w:val="000000"/>
          <w:sz w:val="22"/>
        </w:rPr>
        <w:t> </w:t>
      </w:r>
      <w:r>
        <w:rPr>
          <w:rFonts w:ascii="Times New Roman" w:hAnsi="Times New Roman"/>
          <w:b w:val="false"/>
          <w:i w:val="false"/>
          <w:color w:val="000000"/>
          <w:sz w:val="22"/>
        </w:rPr>
        <w:t>A laser hair removal product or an intense pulsed light device shall not be used on a minor unless the minor is accompanied by a parent or guardian and then shall be used only under general supervision of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940.6(3)</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licensed under Iowa Code chapter </w:t>
      </w:r>
      <w:hyperlink r:id="rId26">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shall not administer any practice of removing skin by means of a razor-edged instrument.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940.6(4)</w:t>
      </w:r>
      <w:r>
        <w:rPr>
          <w:rFonts w:ascii="Times New Roman" w:hAnsi="Times New Roman"/>
          <w:b w:val="false"/>
          <w:i w:val="false"/>
          <w:color w:val="000000"/>
          <w:sz w:val="22"/>
        </w:rPr>
        <w:t> </w:t>
      </w:r>
      <w:r>
        <w:rPr>
          <w:rFonts w:ascii="Times New Roman" w:hAnsi="Times New Roman"/>
          <w:b w:val="false"/>
          <w:i w:val="false"/>
          <w:color w:val="000000"/>
          <w:sz w:val="22"/>
        </w:rPr>
        <w:t>Persons licensed under this chapter who provide hair removal, manicuring and nail technology services shall not administer any procedure in which human tissue is cut, shaped, vaporized, or otherwise structurally altered, except for the use of a cuticle nipper.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940.6(5)</w:t>
      </w:r>
      <w:r>
        <w:rPr>
          <w:rFonts w:ascii="Times New Roman" w:hAnsi="Times New Roman"/>
          <w:b w:val="false"/>
          <w:i w:val="false"/>
          <w:color w:val="000000"/>
          <w:sz w:val="22"/>
        </w:rPr>
        <w:t> </w:t>
      </w:r>
      <w:r>
        <w:rPr>
          <w:rFonts w:ascii="Times New Roman" w:hAnsi="Times New Roman"/>
          <w:b w:val="false"/>
          <w:i w:val="false"/>
          <w:color w:val="000000"/>
          <w:sz w:val="22"/>
        </w:rPr>
        <w:t>Board-certified licensees providing shaving, microdermabrasion, chemical peels, laser or IPL hair removal treatments in an establishment shall not include any practice, activity, or treatment that constitutes the practice of medicine, osteopathic medicine, chiropractic or acupuncture.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940.6(6)</w:t>
      </w:r>
      <w:r>
        <w:rPr>
          <w:rFonts w:ascii="Times New Roman" w:hAnsi="Times New Roman"/>
          <w:b w:val="false"/>
          <w:i w:val="false"/>
          <w:color w:val="000000"/>
          <w:sz w:val="22"/>
        </w:rPr>
        <w:t> </w:t>
      </w:r>
      <w:r>
        <w:rPr>
          <w:rFonts w:ascii="Times New Roman" w:hAnsi="Times New Roman"/>
          <w:b w:val="false"/>
          <w:i w:val="false"/>
          <w:color w:val="000000"/>
          <w:sz w:val="22"/>
        </w:rPr>
        <w:t xml:space="preserve">Barbers and cosmetologists licensed prior to July 1, 2005, and licensed estheticians shall only perform medical aesthetic services in a medical spa under the delegation and supervision of a medical director as set forth by the Iowa board of medicine in rule </w:t>
      </w:r>
      <w:hyperlink r:id="rId27">
        <w:r>
          <w:rPr>
            <w:rStyle w:val="Hyperlink"/>
            <w:rFonts w:ascii="Times New Roman" w:hAnsi="Times New Roman"/>
            <w:b w:val="false"/>
            <w:i w:val="false"/>
            <w:color w:val="000000"/>
            <w:sz w:val="22"/>
          </w:rPr>
          <w:t>481—655.6</w:t>
        </w:r>
      </w:hyperlink>
      <w:r>
        <w:rPr>
          <w:rFonts w:ascii="Times New Roman" w:hAnsi="Times New Roman"/>
          <w:b w:val="false"/>
          <w:i w:val="false"/>
          <w:color w:val="000000"/>
          <w:sz w:val="22"/>
        </w:rPr>
        <w:t>(148,272C). The Iowa board of barbering and cosmetology arts and sciences does not license medical aestheticians.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940.6(7)</w:t>
      </w:r>
      <w:r>
        <w:rPr>
          <w:rFonts w:ascii="Times New Roman" w:hAnsi="Times New Roman"/>
          <w:b w:val="false"/>
          <w:i w:val="false"/>
          <w:color w:val="000000"/>
          <w:sz w:val="22"/>
        </w:rPr>
        <w:t> </w:t>
      </w:r>
      <w:r>
        <w:rPr>
          <w:rFonts w:ascii="Times New Roman" w:hAnsi="Times New Roman"/>
          <w:b w:val="false"/>
          <w:i w:val="false"/>
          <w:color w:val="000000"/>
          <w:sz w:val="22"/>
        </w:rPr>
        <w:t>Persons licensed under this chapter who provide apprenticeship programs must hold an active license sufficient to provide on-the-job training, must operate in an actively licensed establishment, and must comply with relevant Iowa office of apprenticeship laws and regulations for the operation of an apprenticeship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940.6(8)</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may only perform those services for which they possess the skill and knowledge required to perform the service in a professionally competent manner as set forth in Iowa Code chapter </w:t>
      </w:r>
      <w:hyperlink r:id="rId28">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and the related administrative rules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481—940.7</w:t>
      </w:r>
      <w:r>
        <w:rPr>
          <w:rFonts w:ascii="Times New Roman" w:hAnsi="Times New Roman"/>
          <w:b/>
          <w:i w:val="false"/>
          <w:color w:val="000000"/>
          <w:sz w:val="22"/>
        </w:rPr>
        <w:t xml:space="preserve">(157) </w:t>
      </w:r>
      <w:r>
        <w:rPr>
          <w:rFonts w:ascii="Times New Roman" w:hAnsi="Times New Roman"/>
          <w:b/>
          <w:i w:val="false"/>
          <w:color w:val="000000"/>
          <w:sz w:val="22"/>
        </w:rPr>
        <w:t xml:space="preserve">Consent form requirements. </w:t>
      </w:r>
      <w:r>
        <w:rPr>
          <w:rFonts w:ascii="Times New Roman" w:hAnsi="Times New Roman"/>
          <w:b w:val="false"/>
          <w:i w:val="false"/>
          <w:color w:val="000000"/>
          <w:sz w:val="22"/>
        </w:rPr>
        <w:t>A licensed esthetician, barber and cosmetologist, or electrologist, prior to providing services relating to a certified laser product, intense pulsed light device, chemical peel, or microdermabrasion, shall obtain from a client a consent form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Specifies in general terms the nature and purpose of the procedure(s);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Lists known risks associated with the procedure(s) if reasonably determinable;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States an acknowledgment that disclosure of information has been made and that questions asked about the procedure(s) have been satisfactorily answered;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Includes a signature of either the client for whom the procedure is performed or, if that client for any reason lacks legal capacity to consent, includes the signature of a person who has legal authority to consent on behalf of that client in those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481—940.8</w:t>
      </w:r>
      <w:r>
        <w:rPr>
          <w:rFonts w:ascii="Times New Roman" w:hAnsi="Times New Roman"/>
          <w:b/>
          <w:i w:val="false"/>
          <w:color w:val="000000"/>
          <w:sz w:val="22"/>
        </w:rPr>
        <w:t xml:space="preserve">(157)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940.8(1)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cosmetology arts and sciences shall begin on April 1 of one year and end on March 31 two years later. All licensees shall renew on a biennial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may send a renewal notice by regular mail to each licensee at the address on record prior to the expiration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renewing the license prior to its expiration. Failure of the licensee to receive the notice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or reactivated license granted by the board to a licensee who holds a current license in another practice discipline in barbering and cosmetology arts and sciences may have the same license expiration date as the licensee’s other license(s). If the licensee does not have another active license with the board, the license expiration date shall be in the current renewal period unless the license is issued within six months of the end of the renewal cycle and </w:t>
      </w:r>
      <w:hyperlink r:id="rId29">
        <w:r>
          <w:rPr>
            <w:rStyle w:val="Hyperlink"/>
            <w:rFonts w:ascii="Times New Roman" w:hAnsi="Times New Roman"/>
            <w:b w:val="false"/>
            <w:i w:val="false"/>
            <w:color w:val="000000"/>
            <w:sz w:val="22"/>
          </w:rPr>
          <w:t>subrule </w:t>
        </w:r>
      </w:hyperlink>
      <w:r>
        <w:rPr>
          <w:rFonts w:ascii="Times New Roman" w:hAnsi="Times New Roman"/>
          <w:b w:val="false"/>
          <w:i w:val="false"/>
          <w:color w:val="000000"/>
          <w:sz w:val="22"/>
        </w:rPr>
        <w:t>940.8(2)</w:t>
      </w:r>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940.8(2)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940.8(3)</w:t>
      </w:r>
      <w:r>
        <w:rPr>
          <w:rFonts w:ascii="Times New Roman" w:hAnsi="Times New Roman"/>
          <w:b w:val="false"/>
          <w:i w:val="false"/>
          <w:color w:val="000000"/>
          <w:sz w:val="22"/>
        </w:rPr>
        <w:t> </w:t>
      </w:r>
      <w:r>
        <w:rPr>
          <w:rFonts w:ascii="Times New Roman" w:hAnsi="Times New Roman"/>
          <w:b w:val="false"/>
          <w:i w:val="false"/>
          <w:color w:val="000000"/>
          <w:sz w:val="22"/>
        </w:rPr>
        <w:t>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30">
        <w:r>
          <w:rPr>
            <w:rStyle w:val="Hyperlink"/>
            <w:rFonts w:ascii="Times New Roman" w:hAnsi="Times New Roman"/>
            <w:b w:val="false"/>
            <w:i w:val="false"/>
            <w:color w:val="000000"/>
            <w:sz w:val="22"/>
          </w:rPr>
          <w:t>481—944.2</w:t>
        </w:r>
      </w:hyperlink>
      <w:r>
        <w:rPr>
          <w:rFonts w:ascii="Times New Roman" w:hAnsi="Times New Roman"/>
          <w:b w:val="false"/>
          <w:i w:val="false"/>
          <w:color w:val="000000"/>
          <w:sz w:val="22"/>
        </w:rPr>
        <w:t>(157).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the completed online renewal application and renewal fee and upload certificate(s) of completion for related continuing education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currently licensed in Iowa but practicing exclusively in another state or serving honorably as active duty military or the spouse of active duty military service personnel may comply with Iowa continuing education requirements for license renewal by meeting the continuing education requirements of the state where the licensee practices. Those licensees living and practicing exclusively in a state that has no continuing education requirement for renewal of a license shall not be required to meet Iowa’s continuing education requirement but shall pay all renewal fees when due (Iowa Code section </w:t>
      </w:r>
      <w:hyperlink r:id="rId31">
        <w:r>
          <w:rPr>
            <w:rStyle w:val="Hyperlink"/>
            <w:rFonts w:ascii="Times New Roman" w:hAnsi="Times New Roman"/>
            <w:b w:val="false"/>
            <w:i w:val="false"/>
            <w:color w:val="000000"/>
            <w:sz w:val="22"/>
          </w:rPr>
          <w:t>272C.2(4)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940.8(4)</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940.8(5)</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late when the license has not been renewed by the expiration date on the renewal. The licensee shall be assessed a late fee as specified in </w:t>
      </w:r>
      <w:hyperlink r:id="rId32">
        <w:r>
          <w:rPr>
            <w:rStyle w:val="Hyperlink"/>
            <w:rFonts w:ascii="Times New Roman" w:hAnsi="Times New Roman"/>
            <w:b w:val="false"/>
            <w:i w:val="false"/>
            <w:color w:val="000000"/>
            <w:sz w:val="22"/>
          </w:rPr>
          <w:t>481—subrule 507.5(3)</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940.8(6)</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barbering and cosmetology arts and sciences in Iowa until the license is reactivated. A licensee who practices barbering and cosmetology arts and sciences in the state of Iowa with an inactive license may be subject to disciplinary action by the board, injunctive action pursuant to Iowa Code section </w:t>
      </w:r>
      <w:hyperlink r:id="rId33">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34">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940.8(7)</w:t>
      </w:r>
      <w:r>
        <w:rPr>
          <w:rFonts w:ascii="Times New Roman" w:hAnsi="Times New Roman"/>
          <w:b w:val="false"/>
          <w:i w:val="false"/>
          <w:color w:val="000000"/>
          <w:sz w:val="22"/>
        </w:rPr>
        <w:t> </w:t>
      </w:r>
      <w:r>
        <w:rPr>
          <w:rFonts w:ascii="Times New Roman" w:hAnsi="Times New Roman"/>
          <w:b w:val="false"/>
          <w:i w:val="false"/>
          <w:color w:val="000000"/>
          <w:sz w:val="22"/>
        </w:rPr>
        <w:t>Those persons licensed for the first time shall not be required to complete continuing education as a prerequisite for the first renewal of their licenses. Continuing education hours acquired anytime from the initial licensing until the second license renewal may be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481—940.9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940.9(1)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 on a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940.9(2)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rule </w:t>
      </w:r>
      <w:hyperlink r:id="rId35">
        <w:r>
          <w:rPr>
            <w:rStyle w:val="Hyperlink"/>
            <w:rFonts w:ascii="Times New Roman" w:hAnsi="Times New Roman"/>
            <w:b w:val="false"/>
            <w:i w:val="false"/>
            <w:color w:val="000000"/>
            <w:sz w:val="22"/>
          </w:rPr>
          <w:t>481—507.5</w:t>
        </w:r>
      </w:hyperlink>
      <w:r>
        <w:rPr>
          <w:rFonts w:ascii="Times New Roman" w:hAnsi="Times New Roman"/>
          <w:b w:val="false"/>
          <w:i w:val="false"/>
          <w:color w:val="000000"/>
          <w:sz w:val="22"/>
        </w:rPr>
        <w:t>(147,157).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940.9(3)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barbering and cosmetology arts and sciences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licensed and is or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completion of six hours of continuing education that meet the continuing education standards defined in rule </w:t>
      </w:r>
      <w:hyperlink r:id="rId36">
        <w:r>
          <w:rPr>
            <w:rStyle w:val="Hyperlink"/>
            <w:rFonts w:ascii="Times New Roman" w:hAnsi="Times New Roman"/>
            <w:b w:val="false"/>
            <w:i w:val="false"/>
            <w:color w:val="000000"/>
            <w:sz w:val="22"/>
          </w:rPr>
          <w:t>481—944.3</w:t>
        </w:r>
      </w:hyperlink>
      <w:r>
        <w:rPr>
          <w:rFonts w:ascii="Times New Roman" w:hAnsi="Times New Roman"/>
          <w:b w:val="false"/>
          <w:i w:val="false"/>
          <w:color w:val="000000"/>
          <w:sz w:val="22"/>
        </w:rPr>
        <w:t>(157,272C) within two years of application for reactivation; or verification of active practice, consisting of a minimum of 2,080 hours, in another state or jurisdiction during the two years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licensed and is or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completion of 12 hours of continuing education that meet the continuing education standards defined in rule </w:t>
      </w:r>
      <w:hyperlink r:id="rId37">
        <w:r>
          <w:rPr>
            <w:rStyle w:val="Hyperlink"/>
            <w:rFonts w:ascii="Times New Roman" w:hAnsi="Times New Roman"/>
            <w:b w:val="false"/>
            <w:i w:val="false"/>
            <w:color w:val="000000"/>
            <w:sz w:val="22"/>
          </w:rPr>
          <w:t>481—944.3</w:t>
        </w:r>
      </w:hyperlink>
      <w:r>
        <w:rPr>
          <w:rFonts w:ascii="Times New Roman" w:hAnsi="Times New Roman"/>
          <w:b w:val="false"/>
          <w:i w:val="false"/>
          <w:color w:val="000000"/>
          <w:sz w:val="22"/>
        </w:rPr>
        <w:t>(157,272C) within two years of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940.9(4)</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who are instructors of barbering and cosmetology arts and sciences shall obtain an additional six hours of continuing education in teaching methodology as prescribed in </w:t>
      </w:r>
      <w:hyperlink r:id="rId38">
        <w:r>
          <w:rPr>
            <w:rStyle w:val="Hyperlink"/>
            <w:rFonts w:ascii="Times New Roman" w:hAnsi="Times New Roman"/>
            <w:b w:val="false"/>
            <w:i w:val="false"/>
            <w:color w:val="000000"/>
            <w:sz w:val="22"/>
          </w:rPr>
          <w:t>481—Chapter 944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481—940.10</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39">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40">
        <w:r>
          <w:rPr>
            <w:rStyle w:val="Hyperlink"/>
            <w:rFonts w:ascii="Times New Roman" w:hAnsi="Times New Roman"/>
            <w:b w:val="false"/>
            <w:i w:val="false"/>
            <w:color w:val="000000"/>
            <w:sz w:val="22"/>
          </w:rPr>
          <w:t>481—940.9</w:t>
        </w:r>
      </w:hyperlink>
      <w:r>
        <w:rPr>
          <w:rFonts w:ascii="Times New Roman" w:hAnsi="Times New Roman"/>
          <w:b w:val="false"/>
          <w:i w:val="false"/>
          <w:color w:val="000000"/>
          <w:sz w:val="22"/>
        </w:rPr>
        <w:t xml:space="preserve">(17A,147,272C) prior to practicing barbering and cosmetology arts and sciences in this state.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41">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7/1/52; amended 4/21/53, 5/15/53, 10/1/59, 4/19/71]</w:t>
      </w:r>
    </w:p>
    <w:p>
      <w:pPr>
        <w:spacing w:before="0" w:after="0"/>
        <w:ind w:left="120"/>
        <w:jc w:val="center"/>
      </w:pPr>
      <w:r>
        <w:rPr>
          <w:rFonts w:ascii="Times New Roman" w:hAnsi="Times New Roman"/>
          <w:b w:val="false"/>
          <w:i w:val="false"/>
          <w:color w:val="000000"/>
          <w:sz w:val="21"/>
        </w:rPr>
        <w:t>[Filed 8/5/77, Notice 6/1/77—published 8/24/77, effective 10/1/77]</w:t>
      </w:r>
    </w:p>
    <w:p>
      <w:pPr>
        <w:spacing w:before="0" w:after="0"/>
        <w:ind w:left="120"/>
        <w:jc w:val="center"/>
      </w:pPr>
      <w:r>
        <w:rPr>
          <w:rFonts w:ascii="Times New Roman" w:hAnsi="Times New Roman"/>
          <w:b w:val="false"/>
          <w:i w:val="false"/>
          <w:color w:val="000000"/>
          <w:sz w:val="21"/>
        </w:rPr>
        <w:t>[Filed 4/28/78, Notice 12/28/77—published 5/17/78, effective 6/21/78]</w:t>
      </w:r>
    </w:p>
    <w:p>
      <w:pPr>
        <w:spacing w:before="0" w:after="0"/>
        <w:ind w:left="120"/>
        <w:jc w:val="center"/>
      </w:pPr>
      <w:r>
        <w:rPr>
          <w:rFonts w:ascii="Times New Roman" w:hAnsi="Times New Roman"/>
          <w:b w:val="false"/>
          <w:i w:val="false"/>
          <w:color w:val="000000"/>
          <w:sz w:val="21"/>
        </w:rPr>
        <w:t>[Filed 10/19/79, Notice 8/22/79—published 11/14/79, effective 12/21/79]</w:t>
      </w:r>
    </w:p>
    <w:p>
      <w:pPr>
        <w:spacing w:before="0" w:after="0"/>
        <w:ind w:left="120"/>
        <w:jc w:val="center"/>
      </w:pPr>
      <w:r>
        <w:rPr>
          <w:rFonts w:ascii="Times New Roman" w:hAnsi="Times New Roman"/>
          <w:b w:val="false"/>
          <w:i w:val="false"/>
          <w:color w:val="000000"/>
          <w:sz w:val="21"/>
        </w:rPr>
        <w:t>[Filed 2/27/81, Notice 12/10/80—published 3/18/81, effective 4/22/81]</w:t>
      </w:r>
    </w:p>
    <w:p>
      <w:pPr>
        <w:spacing w:before="0" w:after="0"/>
        <w:ind w:left="120"/>
        <w:jc w:val="center"/>
      </w:pPr>
      <w:r>
        <w:rPr>
          <w:rFonts w:ascii="Times New Roman" w:hAnsi="Times New Roman"/>
          <w:b w:val="false"/>
          <w:i w:val="false"/>
          <w:color w:val="000000"/>
          <w:sz w:val="21"/>
        </w:rPr>
        <w:t>[Filed 11/15/82, Notice 9/1/82—published 12/8/82, effective 1/15/83]</w:t>
      </w:r>
    </w:p>
    <w:p>
      <w:pPr>
        <w:spacing w:before="0" w:after="0"/>
        <w:ind w:left="120"/>
        <w:jc w:val="center"/>
      </w:pPr>
      <w:r>
        <w:rPr>
          <w:rFonts w:ascii="Times New Roman" w:hAnsi="Times New Roman"/>
          <w:b w:val="false"/>
          <w:i w:val="false"/>
          <w:color w:val="000000"/>
          <w:sz w:val="21"/>
        </w:rPr>
        <w:t>[Filed 10/6/83, Notice 7/20/83—published 10/26/83, effective 11/30/83]</w:t>
      </w:r>
    </w:p>
    <w:p>
      <w:pPr>
        <w:spacing w:before="0" w:after="0"/>
        <w:ind w:left="120"/>
        <w:jc w:val="center"/>
      </w:pPr>
      <w:r>
        <w:rPr>
          <w:rFonts w:ascii="Times New Roman" w:hAnsi="Times New Roman"/>
          <w:b w:val="false"/>
          <w:i w:val="false"/>
          <w:color w:val="000000"/>
          <w:sz w:val="21"/>
        </w:rPr>
        <w:t>[Filed 4/15/85, Notice 2/27/85—published 5/8/85, effective 6/12/85]</w:t>
      </w:r>
    </w:p>
    <w:p>
      <w:pPr>
        <w:spacing w:before="0" w:after="0"/>
        <w:ind w:left="120"/>
        <w:jc w:val="center"/>
      </w:pPr>
      <w:r>
        <w:rPr>
          <w:rFonts w:ascii="Times New Roman" w:hAnsi="Times New Roman"/>
          <w:b w:val="false"/>
          <w:i w:val="false"/>
          <w:color w:val="000000"/>
          <w:sz w:val="21"/>
        </w:rPr>
        <w:t>[Filed 8/5/85, Notice 6/5/85—published 8/28/85, effective 10/2/85]</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[Filed 8/4/89, Notice 6/14/89—published 8/23/89, effective 9/27/89]</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2/2/90, Notice 12/27/89—published 2/21/90, effective 3/28/90]</w:t>
      </w:r>
    </w:p>
    <w:p>
      <w:pPr>
        <w:spacing w:before="0" w:after="0"/>
        <w:ind w:left="120"/>
        <w:jc w:val="center"/>
      </w:pPr>
      <w:r>
        <w:rPr>
          <w:rFonts w:ascii="Times New Roman" w:hAnsi="Times New Roman"/>
          <w:b w:val="false"/>
          <w:i w:val="false"/>
          <w:color w:val="000000"/>
          <w:sz w:val="21"/>
        </w:rPr>
        <w:t>[Filed 9/27/91, Notice 6/12/91—published 10/16/91, effective 11/20/91]</w:t>
      </w:r>
    </w:p>
    <w:p>
      <w:pPr>
        <w:spacing w:before="0" w:after="0"/>
        <w:ind w:left="120"/>
        <w:jc w:val="center"/>
      </w:pPr>
      <w:r>
        <w:rPr>
          <w:rFonts w:ascii="Times New Roman" w:hAnsi="Times New Roman"/>
          <w:b w:val="false"/>
          <w:i w:val="false"/>
          <w:color w:val="000000"/>
          <w:sz w:val="21"/>
        </w:rPr>
        <w:t>[Filed 1/3/92, Notice 9/4/91—published 1/22/92, effective 2/26/92]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12/4/92, Notice 8/5/92—published 12/23/92, effective 1/29/93]</w:t>
      </w:r>
    </w:p>
    <w:p>
      <w:pPr>
        <w:spacing w:before="0" w:after="0"/>
        <w:ind w:left="120"/>
        <w:jc w:val="center"/>
      </w:pPr>
      <w:r>
        <w:rPr>
          <w:rFonts w:ascii="Times New Roman" w:hAnsi="Times New Roman"/>
          <w:b w:val="false"/>
          <w:i w:val="false"/>
          <w:color w:val="000000"/>
          <w:sz w:val="21"/>
        </w:rPr>
        <w:t>[Filed 2/11/94, Notice 10/27/93—published 3/2/94, effective 4/6/94]</w:t>
      </w:r>
    </w:p>
    <w:p>
      <w:pPr>
        <w:spacing w:before="0" w:after="0"/>
        <w:ind w:left="120"/>
        <w:jc w:val="center"/>
      </w:pPr>
      <w:r>
        <w:rPr>
          <w:rFonts w:ascii="Times New Roman" w:hAnsi="Times New Roman"/>
          <w:b w:val="false"/>
          <w:i w:val="false"/>
          <w:color w:val="000000"/>
          <w:sz w:val="21"/>
        </w:rPr>
        <w:t>[Filed 4/19/95, Notice 2/1/95—published 5/10/95, effective 6/14/95]</w:t>
      </w:r>
    </w:p>
    <w:p>
      <w:pPr>
        <w:spacing w:before="0" w:after="0"/>
        <w:ind w:left="120"/>
        <w:jc w:val="center"/>
      </w:pPr>
      <w:r>
        <w:rPr>
          <w:rFonts w:ascii="Times New Roman" w:hAnsi="Times New Roman"/>
          <w:b w:val="false"/>
          <w:i w:val="false"/>
          <w:color w:val="000000"/>
          <w:sz w:val="21"/>
        </w:rPr>
        <w:t>[Filed 11/2/95, Notice 9/13/95—published 11/22/95, effective 12/27/95]</w:t>
      </w:r>
    </w:p>
    <w:p>
      <w:pPr>
        <w:spacing w:before="0" w:after="0"/>
        <w:ind w:left="120"/>
        <w:jc w:val="center"/>
      </w:pPr>
      <w:r>
        <w:rPr>
          <w:rFonts w:ascii="Times New Roman" w:hAnsi="Times New Roman"/>
          <w:b w:val="false"/>
          <w:i w:val="false"/>
          <w:color w:val="000000"/>
          <w:sz w:val="21"/>
        </w:rPr>
        <w:t>[Filed 11/15/96, Notice 9/11/96—published 12/4/96, effective 1/8/97]</w:t>
      </w:r>
    </w:p>
    <w:p>
      <w:pPr>
        <w:spacing w:before="0" w:after="0"/>
        <w:ind w:left="120"/>
        <w:jc w:val="center"/>
      </w:pPr>
      <w:r>
        <w:rPr>
          <w:rFonts w:ascii="Times New Roman" w:hAnsi="Times New Roman"/>
          <w:b w:val="false"/>
          <w:i w:val="false"/>
          <w:color w:val="000000"/>
          <w:sz w:val="21"/>
        </w:rPr>
        <w:t>[Filed 2/6/98, Notice 11/19/97—published 2/25/98, effective 4/1/98]</w:t>
      </w:r>
    </w:p>
    <w:p>
      <w:pPr>
        <w:spacing w:before="0" w:after="0"/>
        <w:ind w:left="120"/>
        <w:jc w:val="center"/>
      </w:pPr>
      <w:r>
        <w:rPr>
          <w:rFonts w:ascii="Times New Roman" w:hAnsi="Times New Roman"/>
          <w:b w:val="false"/>
          <w:i w:val="false"/>
          <w:color w:val="000000"/>
          <w:sz w:val="21"/>
        </w:rPr>
        <w:t>[Filed 2/19/99, Notice 12/2/98—published 3/10/99, effective 4/14/99]</w:t>
      </w:r>
    </w:p>
    <w:p>
      <w:pPr>
        <w:spacing w:before="0" w:after="0"/>
        <w:ind w:left="120"/>
        <w:jc w:val="center"/>
      </w:pPr>
      <w:r>
        <w:rPr>
          <w:rFonts w:ascii="Times New Roman" w:hAnsi="Times New Roman"/>
          <w:b w:val="false"/>
          <w:i w:val="false"/>
          <w:color w:val="000000"/>
          <w:sz w:val="21"/>
        </w:rPr>
        <w:t>[Filed 5/28/99, Notice 1/27/99—published 6/16/99, effective 7/21/99]</w:t>
      </w:r>
    </w:p>
    <w:p>
      <w:pPr>
        <w:spacing w:before="0" w:after="0"/>
        <w:ind w:left="120"/>
        <w:jc w:val="center"/>
      </w:pPr>
      <w:r>
        <w:rPr>
          <w:rFonts w:ascii="Times New Roman" w:hAnsi="Times New Roman"/>
          <w:b w:val="false"/>
          <w:i w:val="false"/>
          <w:color w:val="000000"/>
          <w:sz w:val="21"/>
        </w:rPr>
        <w:t>[Filed 2/1/01, Notice 11/29/00—published 2/21/01, effective 3/28/01]</w:t>
      </w:r>
    </w:p>
    <w:p>
      <w:pPr>
        <w:spacing w:before="0" w:after="0"/>
        <w:ind w:left="120"/>
        <w:jc w:val="center"/>
      </w:pPr>
      <w:r>
        <w:rPr>
          <w:rFonts w:ascii="Times New Roman" w:hAnsi="Times New Roman"/>
          <w:b w:val="false"/>
          <w:i w:val="false"/>
          <w:color w:val="000000"/>
          <w:sz w:val="21"/>
        </w:rPr>
        <w:t>[Filed 2/13/02, Notice 11/28/01—published 3/6/02, effective 4/10/02]</w:t>
      </w:r>
    </w:p>
    <w:p>
      <w:pPr>
        <w:spacing w:before="0" w:after="0"/>
        <w:ind w:left="120"/>
        <w:jc w:val="center"/>
      </w:pPr>
      <w:r>
        <w:rPr>
          <w:rFonts w:ascii="Times New Roman" w:hAnsi="Times New Roman"/>
          <w:b w:val="false"/>
          <w:i w:val="false"/>
          <w:color w:val="000000"/>
          <w:sz w:val="21"/>
        </w:rPr>
        <w:t>[Filed 8/14/02, Notice 5/29/02—published 9/4/02, effective 10/9/02]</w:t>
      </w:r>
    </w:p>
    <w:p>
      <w:pPr>
        <w:spacing w:before="0" w:after="0"/>
        <w:ind w:left="120"/>
        <w:jc w:val="center"/>
      </w:pPr>
      <w:r>
        <w:rPr>
          <w:rFonts w:ascii="Times New Roman" w:hAnsi="Times New Roman"/>
          <w:b w:val="false"/>
          <w:i w:val="false"/>
          <w:color w:val="000000"/>
          <w:sz w:val="21"/>
        </w:rPr>
        <w:t>[Filed 2/12/03, Notice 12/25/02—published 3/5/03, effective 4/9/03]</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2/10/04, Notice 11/26/03—published 3/3/04, effective 4/7/04]</w:t>
      </w:r>
    </w:p>
    <w:p>
      <w:pPr>
        <w:spacing w:before="0" w:after="0"/>
        <w:ind w:left="120"/>
        <w:jc w:val="center"/>
      </w:pPr>
      <w:r>
        <w:rPr>
          <w:rFonts w:ascii="Times New Roman" w:hAnsi="Times New Roman"/>
          <w:b w:val="false"/>
          <w:i w:val="false"/>
          <w:color w:val="000000"/>
          <w:sz w:val="21"/>
        </w:rPr>
        <w:t>[Filed 2/3/05, Notice 11/24/04—published 3/2/05, effective 4/6/05]</w:t>
      </w:r>
    </w:p>
    <w:p>
      <w:pPr>
        <w:spacing w:before="0" w:after="0"/>
        <w:ind w:left="120"/>
        <w:jc w:val="center"/>
      </w:pPr>
      <w:r>
        <w:rPr>
          <w:rFonts w:ascii="Times New Roman" w:hAnsi="Times New Roman"/>
          <w:b w:val="false"/>
          <w:i w:val="false"/>
          <w:color w:val="000000"/>
          <w:sz w:val="21"/>
        </w:rPr>
        <w:t>[Filed 8/5/05, Notice 5/25/05—published 8/31/05, effective 10/5/05]</w:t>
      </w:r>
    </w:p>
    <w:p>
      <w:pPr>
        <w:spacing w:before="0" w:after="0"/>
        <w:ind w:left="120"/>
        <w:jc w:val="center"/>
      </w:pPr>
      <w:r>
        <w:rPr>
          <w:rFonts w:ascii="Times New Roman" w:hAnsi="Times New Roman"/>
          <w:b w:val="false"/>
          <w:i w:val="false"/>
          <w:color w:val="000000"/>
          <w:sz w:val="21"/>
        </w:rPr>
        <w:t>[Filed 11/4/05, Notice 9/14/05—published 11/23/05, effective 12/28/05]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11/4/05, Notice 9/28/05—published 11/23/05, effective 12/28/05]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2/1/06, Notice 12/7/05—published 3/1/06, effective 4/5/06]</w:t>
      </w:r>
    </w:p>
    <w:p>
      <w:pPr>
        <w:spacing w:before="0" w:after="0"/>
        <w:ind w:left="120"/>
        <w:jc w:val="center"/>
      </w:pPr>
      <w:r>
        <w:rPr>
          <w:rFonts w:ascii="Times New Roman" w:hAnsi="Times New Roman"/>
          <w:b w:val="false"/>
          <w:i w:val="false"/>
          <w:color w:val="000000"/>
          <w:sz w:val="21"/>
        </w:rPr>
        <w:t>[Filed without Notice 8/22/07—published 9/12/07, effective 1/1/08]</w:t>
      </w:r>
    </w:p>
    <w:p>
      <w:pPr>
        <w:spacing w:before="0" w:after="0"/>
        <w:ind w:left="120"/>
        <w:jc w:val="center"/>
      </w:pPr>
      <w:r>
        <w:rPr>
          <w:rFonts w:ascii="Times New Roman" w:hAnsi="Times New Roman"/>
          <w:b w:val="false"/>
          <w:i w:val="false"/>
          <w:color w:val="000000"/>
          <w:sz w:val="21"/>
        </w:rPr>
        <w:t>[Filed 10/24/07, Notice 9/12/07—published 11/21/07, effective 1/1/08]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8515B</w:t>
      </w:r>
      <w:r>
        <w:rPr>
          <w:rFonts w:ascii="Times New Roman" w:hAnsi="Times New Roman"/>
          <w:b w:val="false"/>
          <w:i w:val="false"/>
          <w:color w:val="000000"/>
          <w:sz w:val="21"/>
        </w:rPr>
        <w:t xml:space="preserve"> (Notice ARC 8330B, IAB 12/2/09)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2599C</w:t>
      </w:r>
      <w:r>
        <w:rPr>
          <w:rFonts w:ascii="Times New Roman" w:hAnsi="Times New Roman"/>
          <w:b w:val="false"/>
          <w:i w:val="false"/>
          <w:color w:val="000000"/>
          <w:sz w:val="21"/>
        </w:rPr>
        <w:t xml:space="preserve"> (Notice ARC 2467C, IAB 3/16/16)</w:t>
      </w:r>
      <w:r>
        <w:rPr>
          <w:rFonts w:ascii="Times New Roman" w:hAnsi="Times New Roman"/>
          <w:b w:val="false"/>
          <w:i w:val="false"/>
          <w:color w:val="000000"/>
          <w:sz w:val="21"/>
        </w:rPr>
        <w:t>, IAB 6/22/16, effective 8/15/16]</w:t>
      </w:r>
    </w:p>
    <w:p>
      <w:pPr>
        <w:spacing w:before="0" w:after="0"/>
        <w:ind w:left="120"/>
        <w:jc w:val="center"/>
      </w:pPr>
      <w:r>
        <w:rPr>
          <w:rFonts w:ascii="Times New Roman" w:hAnsi="Times New Roman"/>
          <w:b w:val="false"/>
          <w:i w:val="false"/>
          <w:color w:val="000000"/>
          <w:sz w:val="21"/>
        </w:rPr>
        <w:t>[Filed ARC 3558C</w:t>
      </w:r>
      <w:r>
        <w:rPr>
          <w:rFonts w:ascii="Times New Roman" w:hAnsi="Times New Roman"/>
          <w:b w:val="false"/>
          <w:i w:val="false"/>
          <w:color w:val="000000"/>
          <w:sz w:val="21"/>
        </w:rPr>
        <w:t xml:space="preserve"> (Notice ARC 3372C,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5755C</w:t>
      </w:r>
      <w:r>
        <w:rPr>
          <w:rFonts w:ascii="Times New Roman" w:hAnsi="Times New Roman"/>
          <w:b w:val="false"/>
          <w:i w:val="false"/>
          <w:color w:val="000000"/>
          <w:sz w:val="21"/>
        </w:rPr>
        <w:t xml:space="preserve"> (Notice ARC 5455C,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6376C</w:t>
      </w:r>
      <w:r>
        <w:rPr>
          <w:rFonts w:ascii="Times New Roman" w:hAnsi="Times New Roman"/>
          <w:b w:val="false"/>
          <w:i w:val="false"/>
          <w:color w:val="000000"/>
          <w:sz w:val="21"/>
        </w:rPr>
        <w:t xml:space="preserve"> (Notice ARC 6258C, IAB 3/23/22)</w:t>
      </w:r>
      <w:r>
        <w:rPr>
          <w:rFonts w:ascii="Times New Roman" w:hAnsi="Times New Roman"/>
          <w:b w:val="false"/>
          <w:i w:val="false"/>
          <w:color w:val="000000"/>
          <w:sz w:val="21"/>
        </w:rPr>
        <w:t>, IAB 6/29/22, effective 8/3/22]</w:t>
      </w:r>
    </w:p>
    <w:p>
      <w:pPr>
        <w:spacing w:before="0" w:after="0"/>
        <w:ind w:left="120"/>
        <w:jc w:val="center"/>
      </w:pPr>
      <w:r>
        <w:rPr>
          <w:rFonts w:ascii="Times New Roman" w:hAnsi="Times New Roman"/>
          <w:b w:val="false"/>
          <w:i w:val="false"/>
          <w:color w:val="000000"/>
          <w:sz w:val="21"/>
        </w:rPr>
        <w:t>[Filed ARC 6952C</w:t>
      </w:r>
      <w:r>
        <w:rPr>
          <w:rFonts w:ascii="Times New Roman" w:hAnsi="Times New Roman"/>
          <w:b w:val="false"/>
          <w:i w:val="false"/>
          <w:color w:val="000000"/>
          <w:sz w:val="21"/>
        </w:rPr>
        <w:t xml:space="preserve"> (Notice ARC 6662C, IAB 11/16/22)</w:t>
      </w:r>
      <w:r>
        <w:rPr>
          <w:rFonts w:ascii="Times New Roman" w:hAnsi="Times New Roman"/>
          <w:b w:val="false"/>
          <w:i w:val="false"/>
          <w:color w:val="000000"/>
          <w:sz w:val="21"/>
        </w:rPr>
        <w:t>, IAB 3/22/23, effective 4/26/23]</w:t>
      </w:r>
    </w:p>
    <w:p>
      <w:pPr>
        <w:spacing w:before="0" w:after="0"/>
        <w:ind w:left="120"/>
        <w:jc w:val="center"/>
      </w:pPr>
      <w:r>
        <w:rPr>
          <w:rFonts w:ascii="Times New Roman" w:hAnsi="Times New Roman"/>
          <w:b w:val="false"/>
          <w:i w:val="false"/>
          <w:color w:val="000000"/>
          <w:sz w:val="21"/>
        </w:rPr>
        <w:t>[Filed ARC 7920C</w:t>
      </w:r>
      <w:r>
        <w:rPr>
          <w:rFonts w:ascii="Times New Roman" w:hAnsi="Times New Roman"/>
          <w:b w:val="false"/>
          <w:i w:val="false"/>
          <w:color w:val="000000"/>
          <w:sz w:val="21"/>
        </w:rPr>
        <w:t xml:space="preserve"> (Notice ARC 7537C, IAB 1/24/24)</w:t>
      </w:r>
      <w:r>
        <w:rPr>
          <w:rFonts w:ascii="Times New Roman" w:hAnsi="Times New Roman"/>
          <w:b w:val="false"/>
          <w:i w:val="false"/>
          <w:color w:val="000000"/>
          <w:sz w:val="21"/>
        </w:rPr>
        <w:t>, IAB 5/1/24, effective 7/1/24]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[Editorial change: IAC Supplement 8/5/26]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2/26/92 delayed until adjournment of the 1992 General Assembly by the Administrative Rules Review Committee at its meeting held February 3, 1992.</w:t>
      </w:r>
    </w:p>
    <w:sectPr>
      <w:footerReference r:id="rId4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7.1.pdf" Type="http://schemas.openxmlformats.org/officeDocument/2006/relationships/hyperlink" Id="rId5"/>
    <Relationship TargetMode="External" Target="https://www.legis.iowa.gov/docs/ico/chapter/84D.2.pdf" Type="http://schemas.openxmlformats.org/officeDocument/2006/relationships/hyperlink" Id="rId6"/>
    <Relationship TargetMode="External" Target="https://www.legis.iowa.gov/docs/ico/chapter/157.pdf" Type="http://schemas.openxmlformats.org/officeDocument/2006/relationships/hyperlink" Id="rId7"/>
    <Relationship TargetMode="External" Target="https://www.legis.iowa.gov/docs/iac/rule/481.940.9.pdf" Type="http://schemas.openxmlformats.org/officeDocument/2006/relationships/hyperlink" Id="rId8"/>
    <Relationship TargetMode="External" Target="https://www.legis.iowa.gov/docs/iac/rule/481.506.31.pdf" Type="http://schemas.openxmlformats.org/officeDocument/2006/relationships/hyperlink" Id="rId9"/>
    <Relationship TargetMode="External" Target="https://www.legis.iowa.gov/docs/iac/rule/481.507.5.pdf" Type="http://schemas.openxmlformats.org/officeDocument/2006/relationships/hyperlink" Id="rId10"/>
    <Relationship TargetMode="External" Target="https://www.legis.iowa.gov/docs/iac/rule/481.501.1.pdf" Type="http://schemas.openxmlformats.org/officeDocument/2006/relationships/hyperlink" Id="rId11"/>
    <Relationship TargetMode="External" Target="https://www.legis.iowa.gov/docs/iac/rule/481.501.2.pdf" Type="http://schemas.openxmlformats.org/officeDocument/2006/relationships/hyperlink" Id="rId12"/>
    <Relationship TargetMode="External" Target="https://www.legis.iowa.gov/docs/iac/rule/481.941.14.pdf" Type="http://schemas.openxmlformats.org/officeDocument/2006/relationships/hyperlink" Id="rId13"/>
    <Relationship TargetMode="External" Target="https://www.legis.iowa.gov/docs/iac/rule/481.941.14.pdf" Type="http://schemas.openxmlformats.org/officeDocument/2006/relationships/hyperlink" Id="rId14"/>
    <Relationship TargetMode="External" Target="https://www.legis.iowa.gov/docs/iac/rule/645.60.2.pdf" Type="http://schemas.openxmlformats.org/officeDocument/2006/relationships/hyperlink" Id="rId15"/>
    <Relationship TargetMode="External" Target="https://www.legis.iowa.gov/docs/iac/chapter/481.943.pdf" Type="http://schemas.openxmlformats.org/officeDocument/2006/relationships/hyperlink" Id="rId16"/>
    <Relationship TargetMode="External" Target="https://www.legis.iowa.gov/docs/iac/chapter/481.943.pdf" Type="http://schemas.openxmlformats.org/officeDocument/2006/relationships/hyperlink" Id="rId17"/>
    <Relationship TargetMode="External" Target="https://www.legis.iowa.gov/docs/iac/chapter/645.21.pdf" Type="http://schemas.openxmlformats.org/officeDocument/2006/relationships/hyperlink" Id="rId18"/>
    <Relationship TargetMode="External" Target="https://www.legis.iowa.gov/docs/iac/rule/481.507.5.pdf" Type="http://schemas.openxmlformats.org/officeDocument/2006/relationships/hyperlink" Id="rId19"/>
    <Relationship TargetMode="External" Target="https://www.legis.iowa.gov/docs/iac/rule/481.507.5.pdf" Type="http://schemas.openxmlformats.org/officeDocument/2006/relationships/hyperlink" Id="rId20"/>
    <Relationship TargetMode="External" Target="https://www.legis.iowa.gov/docs/iac/rule/481.507.5.pdf" Type="http://schemas.openxmlformats.org/officeDocument/2006/relationships/hyperlink" Id="rId21"/>
    <Relationship TargetMode="External" Target="https://www.legis.iowa.gov/docs/iac/rule/481.507.5.pdf" Type="http://schemas.openxmlformats.org/officeDocument/2006/relationships/hyperlink" Id="rId22"/>
    <Relationship TargetMode="External" Target="https://www.legis.iowa.gov/docs/iac/rule/481.507.5.pdf" Type="http://schemas.openxmlformats.org/officeDocument/2006/relationships/hyperlink" Id="rId23"/>
    <Relationship TargetMode="External" Target="https://www.legis.iowa.gov/docs/iac/rule/645.60.5.pdf" Type="http://schemas.openxmlformats.org/officeDocument/2006/relationships/hyperlink" Id="rId24"/>
    <Relationship TargetMode="External" Target="https://www.legis.iowa.gov/docs/iac/rule/645.60.5.pdf" Type="http://schemas.openxmlformats.org/officeDocument/2006/relationships/hyperlink" Id="rId25"/>
    <Relationship TargetMode="External" Target="https://www.legis.iowa.gov/docs/ico/chapter/157.pdf" Type="http://schemas.openxmlformats.org/officeDocument/2006/relationships/hyperlink" Id="rId26"/>
    <Relationship TargetMode="External" Target="https://www.legis.iowa.gov/docs/iac/rule/481.655.6.pdf" Type="http://schemas.openxmlformats.org/officeDocument/2006/relationships/hyperlink" Id="rId27"/>
    <Relationship TargetMode="External" Target="https://www.legis.iowa.gov/docs/ico/chapter/157.pdf" Type="http://schemas.openxmlformats.org/officeDocument/2006/relationships/hyperlink" Id="rId28"/>
    <Relationship TargetMode="External" Target="https://www.legis.iowa.gov/docs/iac/rule/645.60.8.pdf" Type="http://schemas.openxmlformats.org/officeDocument/2006/relationships/hyperlink" Id="rId29"/>
    <Relationship TargetMode="External" Target="https://www.legis.iowa.gov/docs/iac/rule/481.944.2.pdf" Type="http://schemas.openxmlformats.org/officeDocument/2006/relationships/hyperlink" Id="rId30"/>
    <Relationship TargetMode="External" Target="https://www.legis.iowa.gov/docs/ico/chapter/272C.2.pdf" Type="http://schemas.openxmlformats.org/officeDocument/2006/relationships/hyperlink" Id="rId31"/>
    <Relationship TargetMode="External" Target="https://www.legis.iowa.gov/docs/iac/rule/481.507.5.pdf" Type="http://schemas.openxmlformats.org/officeDocument/2006/relationships/hyperlink" Id="rId32"/>
    <Relationship TargetMode="External" Target="https://www.legis.iowa.gov/docs/ico/chapter/147.83.pdf" Type="http://schemas.openxmlformats.org/officeDocument/2006/relationships/hyperlink" Id="rId33"/>
    <Relationship TargetMode="External" Target="https://www.legis.iowa.gov/docs/ico/chapter/147.86.pdf" Type="http://schemas.openxmlformats.org/officeDocument/2006/relationships/hyperlink" Id="rId34"/>
    <Relationship TargetMode="External" Target="https://www.legis.iowa.gov/docs/iac/rule/481.507.5.pdf" Type="http://schemas.openxmlformats.org/officeDocument/2006/relationships/hyperlink" Id="rId35"/>
    <Relationship TargetMode="External" Target="https://www.legis.iowa.gov/docs/iac/rule/481.944.3.pdf" Type="http://schemas.openxmlformats.org/officeDocument/2006/relationships/hyperlink" Id="rId36"/>
    <Relationship TargetMode="External" Target="https://www.legis.iowa.gov/docs/iac/rule/481.944.3.pdf" Type="http://schemas.openxmlformats.org/officeDocument/2006/relationships/hyperlink" Id="rId37"/>
    <Relationship TargetMode="External" Target="https://www.legis.iowa.gov/docs/iac/chapter/481.944.pdf" Type="http://schemas.openxmlformats.org/officeDocument/2006/relationships/hyperlink" Id="rId38"/>
    <Relationship TargetMode="External" Target="https://www.legis.iowa.gov/docs/iac/rule/481.506.31.pdf" Type="http://schemas.openxmlformats.org/officeDocument/2006/relationships/hyperlink" Id="rId39"/>
    <Relationship TargetMode="External" Target="https://www.legis.iowa.gov/docs/iac/rule/481.940.9.pdf" Type="http://schemas.openxmlformats.org/officeDocument/2006/relationships/hyperlink" Id="rId40"/>
    <Relationship TargetMode="External" Target="https://www.legis.iowa.gov/docs/ico/chapter/157.pdf" Type="http://schemas.openxmlformats.org/officeDocument/2006/relationships/hyperlink" Id="rId41"/>
    <Relationship TargetMode="External" Target="https://www.legis.iowa.gov/docs/ico/chapter/272C.pdf" Type="http://schemas.openxmlformats.org/officeDocument/2006/relationships/hyperlink" Id="rId42"/>
    <Relationship Target="footer.xml" Type="http://schemas.openxmlformats.org/officeDocument/2006/relationships/footer" Id="rId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