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923</w:t>
      </w:r>
    </w:p>
    <w:p>
      <w:pPr>
        <w:spacing w:before="0" w:after="0"/>
        <w:ind w:left="120"/>
        <w:jc w:val="center"/>
      </w:pPr>
      <w:r>
        <w:rPr>
          <w:rFonts w:ascii="Times New Roman" w:hAnsi="Times New Roman"/>
          <w:b w:val="false"/>
          <w:i w:val="false"/>
          <w:color w:val="000000"/>
          <w:sz w:val="21"/>
        </w:rPr>
        <w:t>DISCIPLINE FOR DIETITIANS</w:t>
      </w:r>
    </w:p>
    <w:p>
      <w:pPr>
        <w:spacing w:before="0" w:after="0"/>
        <w:ind w:left="120"/>
        <w:jc w:val="center"/>
      </w:pPr>
      <w:r>
        <w:rPr>
          <w:rFonts w:ascii="Times New Roman" w:hAnsi="Times New Roman"/>
          <w:b w:val="false"/>
          <w:i w:val="false"/>
          <w:color w:val="000000"/>
          <w:sz w:val="20"/>
        </w:rPr>
        <w:t>[Prior to 9/19/01, see 645—80.100(152A,272C)]</w:t>
      </w:r>
    </w:p>
    <w:p>
      <w:pPr>
        <w:spacing w:before="0" w:after="0"/>
        <w:ind w:left="120"/>
        <w:jc w:val="center"/>
      </w:pPr>
      <w:r>
        <w:rPr>
          <w:rFonts w:ascii="Times New Roman" w:hAnsi="Times New Roman"/>
          <w:b w:val="false"/>
          <w:i w:val="false"/>
          <w:color w:val="000000"/>
          <w:sz w:val="20"/>
        </w:rPr>
        <w:t>[Prior to 6/26/02, see 645—Ch 82]</w:t>
      </w:r>
    </w:p>
    <w:p>
      <w:pPr>
        <w:spacing w:before="0" w:after="0"/>
        <w:ind w:left="120"/>
        <w:jc w:val="center"/>
      </w:pPr>
      <w:r>
        <w:rPr>
          <w:rFonts w:ascii="Times New Roman" w:hAnsi="Times New Roman"/>
          <w:b w:val="false"/>
          <w:i w:val="false"/>
          <w:color w:val="000000"/>
          <w:sz w:val="20"/>
        </w:rPr>
        <w:t>[Prior to 9/18/24, see Professional Licensure Division[645] Ch 83]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481—923.1</w:t>
      </w:r>
      <w:r>
        <w:rPr>
          <w:rFonts w:ascii="Times New Roman" w:hAnsi="Times New Roman"/>
          <w:b/>
          <w:i w:val="false"/>
          <w:color w:val="000000"/>
          <w:sz w:val="22"/>
        </w:rPr>
        <w:t xml:space="preserve">(152A,272C)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Iowa Code section </w:t>
      </w:r>
      <w:hyperlink r:id="rId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Failure to comply with the Academy of Nutrition and Dietetics/Commission on Dietetic Registration, Code of Ethics for the Profession of Dietetics and Process for Consideration of Ethics Issues, effective January 1, 2010, hereby adopted by reference. Copies may be obtained from the Academy of Nutrition and Dietetics/Commission on Dietetic Registration website at </w:t>
      </w:r>
      <w:hyperlink r:id="rId7">
        <w:r>
          <w:rPr>
            <w:rStyle w:val="Hyperlink"/>
            <w:rFonts w:ascii="Times New Roman" w:hAnsi="Times New Roman"/>
            <w:b w:val="false"/>
            <w:i w:val="false"/>
            <w:color w:val="000000"/>
            <w:sz w:val="22"/>
            <w:u w:val="single"/>
          </w:rPr>
          <w:t>www.eatright.org/code-of-ethics-for-rdns-and-ndtrs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6/19/03, Notice 4/2/03—published 7/9/03, effective 8/13/03]</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[Filed 3/3/06, Notice 1/4/06—published 3/29/06, effective 5/3/06]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0022C</w:t>
      </w:r>
      <w:r>
        <w:rPr>
          <w:rFonts w:ascii="Times New Roman" w:hAnsi="Times New Roman"/>
          <w:b w:val="false"/>
          <w:i w:val="false"/>
          <w:color w:val="000000"/>
          <w:sz w:val="21"/>
        </w:rPr>
        <w:t xml:space="preserve"> (Notice ARC 9799B,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1835C</w:t>
      </w:r>
      <w:r>
        <w:rPr>
          <w:rFonts w:ascii="Times New Roman" w:hAnsi="Times New Roman"/>
          <w:b w:val="false"/>
          <w:i w:val="false"/>
          <w:color w:val="000000"/>
          <w:sz w:val="21"/>
        </w:rPr>
        <w:t xml:space="preserve"> (Notice ARC 1728C,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5774C</w:t>
      </w:r>
      <w:r>
        <w:rPr>
          <w:rFonts w:ascii="Times New Roman" w:hAnsi="Times New Roman"/>
          <w:b w:val="false"/>
          <w:i w:val="false"/>
          <w:color w:val="000000"/>
          <w:sz w:val="21"/>
        </w:rPr>
        <w:t xml:space="preserve"> (Notice ARC 5452C,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7927C</w:t>
      </w:r>
      <w:r>
        <w:rPr>
          <w:rFonts w:ascii="Times New Roman" w:hAnsi="Times New Roman"/>
          <w:b w:val="false"/>
          <w:i w:val="false"/>
          <w:color w:val="000000"/>
          <w:sz w:val="21"/>
        </w:rPr>
        <w:t xml:space="preserve"> (Notice ARC 7544C,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March 28, 2012, effective date of 83.2(12) delayed 70 days by the Administrative Rules Review Committee at its meeting held March 12, 2012.</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www.eatright.org/code-of-ethics-for-rdns-and-ndtrs"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2A.pdf" Type="http://schemas.openxmlformats.org/officeDocument/2006/relationships/hyperlink" Id="rId9"/>
    <Relationship TargetMode="External" Target="https://www.legis.iowa.gov/docs/ico/chapter/272C.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