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pBdr>
          <w:bottom w:space="3"/>
        </w:pBdr>
        <w:spacing w:before="0" w:after="0"/>
        <w:ind w:left="120"/>
        <w:jc w:val="center"/>
      </w:pPr>
      <w:r>
        <w:rPr>
          <w:rFonts w:ascii="Times New Roman" w:hAnsi="Times New Roman"/>
          <w:b w:val="false"/>
          <w:i w:val="false"/>
          <w:color w:val="000000"/>
          <w:sz w:val="16"/>
        </w:rPr>
        <w:t xml:space="preserve"> </w:t>
      </w:r>
      <w:r>
        <w:rPr>
          <w:rFonts w:ascii="Times New Roman" w:hAnsi="Times New Roman"/>
          <w:b w:val="false"/>
          <w:i/>
          <w:color w:val="000000"/>
          <w:sz w:val="16"/>
        </w:rPr>
        <w:t>BOARD OF DIETETICS</w:t>
      </w:r>
      <w:r>
        <w:rPr>
          <w:rFonts w:ascii="Times New Roman" w:hAnsi="Times New Roman"/>
          <w:b w:val="false"/>
          <w:i w:val="false"/>
          <w:color w:val="000000"/>
          <w:sz w:val="16"/>
        </w:rPr>
        <w:t xml:space="preserve"> </w:t>
      </w: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921</w:t>
      </w:r>
    </w:p>
    <w:p>
      <w:pPr>
        <w:spacing w:before="0" w:after="0"/>
        <w:ind w:left="120"/>
        <w:jc w:val="center"/>
      </w:pPr>
      <w:r>
        <w:rPr>
          <w:rFonts w:ascii="Times New Roman" w:hAnsi="Times New Roman"/>
          <w:b w:val="false"/>
          <w:i w:val="false"/>
          <w:color w:val="000000"/>
          <w:sz w:val="21"/>
        </w:rPr>
        <w:t>LICENSURE OF DIETITIANS</w:t>
      </w:r>
    </w:p>
    <w:p>
      <w:pPr>
        <w:spacing w:before="0" w:after="0"/>
        <w:ind w:left="120"/>
        <w:jc w:val="center"/>
      </w:pPr>
      <w:r>
        <w:rPr>
          <w:rFonts w:ascii="Times New Roman" w:hAnsi="Times New Roman"/>
          <w:b w:val="false"/>
          <w:i w:val="false"/>
          <w:color w:val="000000"/>
          <w:sz w:val="20"/>
        </w:rPr>
        <w:t>[Prior to 6/26/02, see 645—Ch 80]</w:t>
      </w:r>
    </w:p>
    <w:p>
      <w:pPr>
        <w:spacing w:before="0" w:after="0"/>
        <w:ind w:left="120"/>
        <w:jc w:val="center"/>
      </w:pPr>
      <w:r>
        <w:rPr>
          <w:rFonts w:ascii="Times New Roman" w:hAnsi="Times New Roman"/>
          <w:b w:val="false"/>
          <w:i w:val="false"/>
          <w:color w:val="000000"/>
          <w:sz w:val="20"/>
        </w:rPr>
        <w:t>[Prior to 9/18/24, see Professional Licensure Division[645] Ch 81]</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6/5/29</w:t>
      </w:r>
    </w:p>
    <w:p>
      <w:pPr>
        <w:spacing w:before="0" w:after="0"/>
        <w:ind w:left="120"/>
        <w:jc w:val="both"/>
      </w:pPr>
      <w:r>
        <w:rPr>
          <w:rFonts w:ascii="Times New Roman" w:hAnsi="Times New Roman"/>
          <w:b/>
          <w:i w:val="false"/>
          <w:color w:val="000000"/>
          <w:sz w:val="22"/>
        </w:rPr>
        <w:t>481—921.1</w:t>
      </w:r>
      <w:r>
        <w:rPr>
          <w:rFonts w:ascii="Times New Roman" w:hAnsi="Times New Roman"/>
          <w:b/>
          <w:i w:val="false"/>
          <w:color w:val="000000"/>
          <w:sz w:val="22"/>
        </w:rPr>
        <w:t xml:space="preserve">(152A)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“Active license”</w:t>
      </w:r>
      <w:r>
        <w:rPr>
          <w:rFonts w:ascii="Times New Roman" w:hAnsi="Times New Roman"/>
          <w:b w:val="false"/>
          <w:i w:val="false"/>
          <w:color w:val="000000"/>
          <w:sz w:val="22"/>
        </w:rPr>
        <w:t> </w:t>
      </w:r>
      <w:r>
        <w:rPr>
          <w:rFonts w:ascii="Times New Roman" w:hAnsi="Times New Roman"/>
          <w:b w:val="false"/>
          <w:i w:val="false"/>
          <w:color w:val="000000"/>
          <w:sz w:val="22"/>
        </w:rPr>
        <w:t>means a license that is current and has not expired.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“Board”</w:t>
      </w:r>
      <w:r>
        <w:rPr>
          <w:rFonts w:ascii="Times New Roman" w:hAnsi="Times New Roman"/>
          <w:b w:val="false"/>
          <w:i w:val="false"/>
          <w:color w:val="000000"/>
          <w:sz w:val="22"/>
        </w:rPr>
        <w:t> </w:t>
      </w:r>
      <w:r>
        <w:rPr>
          <w:rFonts w:ascii="Times New Roman" w:hAnsi="Times New Roman"/>
          <w:b w:val="false"/>
          <w:i w:val="false"/>
          <w:color w:val="000000"/>
          <w:sz w:val="22"/>
        </w:rPr>
        <w:t>means the board of dietetics.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“Consultation”</w:t>
      </w:r>
      <w:r>
        <w:rPr>
          <w:rFonts w:ascii="Times New Roman" w:hAnsi="Times New Roman"/>
          <w:b w:val="false"/>
          <w:i w:val="false"/>
          <w:color w:val="000000"/>
          <w:sz w:val="22"/>
        </w:rPr>
        <w:t> </w:t>
      </w:r>
      <w:r>
        <w:rPr>
          <w:rFonts w:ascii="Times New Roman" w:hAnsi="Times New Roman"/>
          <w:b w:val="false"/>
          <w:i w:val="false"/>
          <w:color w:val="000000"/>
          <w:sz w:val="22"/>
        </w:rPr>
        <w:t>means the practice of providing professional advice to another dietitian or other professional in a particular case and for a limited time, in affiliation with, and at the request of, a dietitian licensed in this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“Dietetics”</w:t>
      </w:r>
      <w:r>
        <w:rPr>
          <w:rFonts w:ascii="Times New Roman" w:hAnsi="Times New Roman"/>
          <w:b w:val="false"/>
          <w:i w:val="false"/>
          <w:color w:val="000000"/>
          <w:sz w:val="22"/>
        </w:rPr>
        <w:t> </w:t>
      </w:r>
      <w:r>
        <w:rPr>
          <w:rFonts w:ascii="Times New Roman" w:hAnsi="Times New Roman"/>
          <w:b w:val="false"/>
          <w:i w:val="false"/>
          <w:color w:val="000000"/>
          <w:sz w:val="22"/>
        </w:rPr>
        <w:t>means the integration and application of principles derived from the sciences of nutrition, biochemistry, physiology, food management and from behavioral and social sciences to achieve and maintain an individual’s health.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“Grace period”</w:t>
      </w:r>
      <w:r>
        <w:rPr>
          <w:rFonts w:ascii="Times New Roman" w:hAnsi="Times New Roman"/>
          <w:b w:val="false"/>
          <w:i w:val="false"/>
          <w:color w:val="000000"/>
          <w:sz w:val="22"/>
        </w:rPr>
        <w:t> </w:t>
      </w:r>
      <w:r>
        <w:rPr>
          <w:rFonts w:ascii="Times New Roman" w:hAnsi="Times New Roman"/>
          <w:b w:val="false"/>
          <w:i w:val="false"/>
          <w:color w:val="000000"/>
          <w:sz w:val="22"/>
        </w:rPr>
        <w:t>means the 30-day period following expiration of a license when the license is still considered to be active.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“Inactive license”</w:t>
      </w:r>
      <w:r>
        <w:rPr>
          <w:rFonts w:ascii="Times New Roman" w:hAnsi="Times New Roman"/>
          <w:b w:val="false"/>
          <w:i w:val="false"/>
          <w:color w:val="000000"/>
          <w:sz w:val="22"/>
        </w:rPr>
        <w:t> </w:t>
      </w:r>
      <w:r>
        <w:rPr>
          <w:rFonts w:ascii="Times New Roman" w:hAnsi="Times New Roman"/>
          <w:b w:val="false"/>
          <w:i w:val="false"/>
          <w:color w:val="000000"/>
          <w:sz w:val="22"/>
        </w:rPr>
        <w:t>means a license that has expired because it was not renewed by the end of the grace period. The category of “inactive license” may include licenses formerly known as lapsed, inactive, delinquent, closed, or retired.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“Licensee”</w:t>
      </w:r>
      <w:r>
        <w:rPr>
          <w:rFonts w:ascii="Times New Roman" w:hAnsi="Times New Roman"/>
          <w:b w:val="false"/>
          <w:i w:val="false"/>
          <w:color w:val="000000"/>
          <w:sz w:val="22"/>
        </w:rPr>
        <w:t> </w:t>
      </w:r>
      <w:r>
        <w:rPr>
          <w:rFonts w:ascii="Times New Roman" w:hAnsi="Times New Roman"/>
          <w:b w:val="false"/>
          <w:i w:val="false"/>
          <w:color w:val="000000"/>
          <w:sz w:val="22"/>
        </w:rPr>
        <w:t>means any person licensed to practice as a dietitian in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“License expiration date”</w:t>
      </w:r>
      <w:r>
        <w:rPr>
          <w:rFonts w:ascii="Times New Roman" w:hAnsi="Times New Roman"/>
          <w:b w:val="false"/>
          <w:i w:val="false"/>
          <w:color w:val="000000"/>
          <w:sz w:val="22"/>
        </w:rPr>
        <w:t> </w:t>
      </w:r>
      <w:r>
        <w:rPr>
          <w:rFonts w:ascii="Times New Roman" w:hAnsi="Times New Roman"/>
          <w:b w:val="false"/>
          <w:i w:val="false"/>
          <w:color w:val="000000"/>
          <w:sz w:val="22"/>
        </w:rPr>
        <w:t>means the fifteenth day of the birth month every two years following initial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“Nutrition assessment”</w:t>
      </w:r>
      <w:r>
        <w:rPr>
          <w:rFonts w:ascii="Times New Roman" w:hAnsi="Times New Roman"/>
          <w:b w:val="false"/>
          <w:i w:val="false"/>
          <w:color w:val="000000"/>
          <w:sz w:val="22"/>
        </w:rPr>
        <w:t> </w:t>
      </w:r>
      <w:r>
        <w:rPr>
          <w:rFonts w:ascii="Times New Roman" w:hAnsi="Times New Roman"/>
          <w:b w:val="false"/>
          <w:i w:val="false"/>
          <w:color w:val="000000"/>
          <w:sz w:val="22"/>
        </w:rPr>
        <w:t>means the evaluation of the nutrition needs of individuals and groups based upon appropriate biochemical, anthropometric, physical, and dietary data to determine nutrient needs and to recommend appropriate nutritional intake, including enteral and parenteral nutrition.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“Nutrition counseling”</w:t>
      </w:r>
      <w:r>
        <w:rPr>
          <w:rFonts w:ascii="Times New Roman" w:hAnsi="Times New Roman"/>
          <w:b w:val="false"/>
          <w:i w:val="false"/>
          <w:color w:val="000000"/>
          <w:sz w:val="22"/>
        </w:rPr>
        <w:t> </w:t>
      </w:r>
      <w:r>
        <w:rPr>
          <w:rFonts w:ascii="Times New Roman" w:hAnsi="Times New Roman"/>
          <w:b w:val="false"/>
          <w:i w:val="false"/>
          <w:color w:val="000000"/>
          <w:sz w:val="22"/>
        </w:rPr>
        <w:t>means advising and assisting individuals or groups, with consideration of cultural background and socioeconomic status, about appropriate nutritional intake by integrating information from the nutrition assessment with information about food and other sources of nutrients and meal preparation.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“Reactivate”</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“reactivation”</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process as outlined in rule </w:t>
      </w:r>
      <w:hyperlink r:id="rId5">
        <w:r>
          <w:rPr>
            <w:rStyle w:val="Hyperlink"/>
            <w:rFonts w:ascii="Times New Roman" w:hAnsi="Times New Roman"/>
            <w:b w:val="false"/>
            <w:i w:val="false"/>
            <w:color w:val="000000"/>
            <w:sz w:val="22"/>
          </w:rPr>
          <w:t>481—921.8</w:t>
        </w:r>
      </w:hyperlink>
      <w:r>
        <w:rPr>
          <w:rFonts w:ascii="Times New Roman" w:hAnsi="Times New Roman"/>
          <w:b w:val="false"/>
          <w:i w:val="false"/>
          <w:color w:val="000000"/>
          <w:sz w:val="22"/>
        </w:rPr>
        <w:t>(17A,147,272C) by which an inactive license is restored to active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“Reciprocal license”</w:t>
      </w:r>
      <w:r>
        <w:rPr>
          <w:rFonts w:ascii="Times New Roman" w:hAnsi="Times New Roman"/>
          <w:b w:val="false"/>
          <w:i w:val="false"/>
          <w:color w:val="000000"/>
          <w:sz w:val="22"/>
        </w:rPr>
        <w:t> </w:t>
      </w:r>
      <w:r>
        <w:rPr>
          <w:rFonts w:ascii="Times New Roman" w:hAnsi="Times New Roman"/>
          <w:b w:val="false"/>
          <w:i w:val="false"/>
          <w:color w:val="000000"/>
          <w:sz w:val="22"/>
        </w:rPr>
        <w:t>means the issuance of an Iowa license to practice dietetics to an applicant who is currently licensed in another state that has a mutual agreement with the Iowa board of dietetics to license persons who have the same or similar qualifications as those required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“Registered dietitian”</w:t>
      </w:r>
      <w:r>
        <w:rPr>
          <w:rFonts w:ascii="Times New Roman" w:hAnsi="Times New Roman"/>
          <w:b w:val="false"/>
          <w:i w:val="false"/>
          <w:color w:val="000000"/>
          <w:sz w:val="22"/>
        </w:rPr>
        <w:t> </w:t>
      </w:r>
      <w:r>
        <w:rPr>
          <w:rFonts w:ascii="Times New Roman" w:hAnsi="Times New Roman"/>
          <w:b w:val="false"/>
          <w:i w:val="false"/>
          <w:color w:val="000000"/>
          <w:sz w:val="22"/>
        </w:rPr>
        <w:t>means a dietitian who has met the standards and qualifications of the Commission on Dietetic Registration, a member of the National Commission for Certifying Agencies.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“Reinstatement”</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process as outlined in rule </w:t>
      </w:r>
      <w:hyperlink r:id="rId6">
        <w:r>
          <w:rPr>
            <w:rStyle w:val="Hyperlink"/>
            <w:rFonts w:ascii="Times New Roman" w:hAnsi="Times New Roman"/>
            <w:b w:val="false"/>
            <w:i w:val="false"/>
            <w:color w:val="000000"/>
            <w:sz w:val="22"/>
          </w:rPr>
          <w:t>481—506.31</w:t>
        </w:r>
      </w:hyperlink>
      <w:r>
        <w:rPr>
          <w:rFonts w:ascii="Times New Roman" w:hAnsi="Times New Roman"/>
          <w:b w:val="false"/>
          <w:i w:val="false"/>
          <w:color w:val="000000"/>
          <w:sz w:val="22"/>
        </w:rPr>
        <w:t>(272C) by which a licensee who has had a license suspended or revoked or who has voluntarily surrendered a license may apply to have the license reinstated, with or without conditions. Once the license is reinstated, the licensee may apply for active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“Supervision of nonlicensees”</w:t>
      </w:r>
      <w:r>
        <w:rPr>
          <w:rFonts w:ascii="Times New Roman" w:hAnsi="Times New Roman"/>
          <w:b w:val="false"/>
          <w:i w:val="false"/>
          <w:color w:val="000000"/>
          <w:sz w:val="22"/>
        </w:rPr>
        <w:t> </w:t>
      </w:r>
      <w:r>
        <w:rPr>
          <w:rFonts w:ascii="Times New Roman" w:hAnsi="Times New Roman"/>
          <w:b w:val="false"/>
          <w:i w:val="false"/>
          <w:color w:val="000000"/>
          <w:sz w:val="22"/>
        </w:rPr>
        <w:t>means any of the following: delegation of duties, direct oversight, or indirect oversight of employees or other persons not licensed by the board.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7925C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1/22/25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481—921.2</w:t>
      </w:r>
      <w:r>
        <w:rPr>
          <w:rFonts w:ascii="Times New Roman" w:hAnsi="Times New Roman"/>
          <w:b/>
          <w:i w:val="false"/>
          <w:color w:val="000000"/>
          <w:sz w:val="22"/>
        </w:rPr>
        <w:t xml:space="preserve">(152A) </w:t>
      </w:r>
      <w:r>
        <w:rPr>
          <w:rFonts w:ascii="Times New Roman" w:hAnsi="Times New Roman"/>
          <w:b/>
          <w:i w:val="false"/>
          <w:color w:val="000000"/>
          <w:sz w:val="22"/>
        </w:rPr>
        <w:t xml:space="preserve">Nutrition care. </w:t>
      </w:r>
      <w:r>
        <w:rPr>
          <w:rFonts w:ascii="Times New Roman" w:hAnsi="Times New Roman"/>
          <w:b w:val="false"/>
          <w:i w:val="false"/>
          <w:color w:val="000000"/>
          <w:sz w:val="22"/>
        </w:rPr>
        <w:t>The primary function of dietetic practice is the provision of nutrition care services that include: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Assessing the nutrition needs of individuals and groups and determining resources and constraints in the practice setting.</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Establishing priorities, goals, and objectives that meet nutrition needs and are consistent with available resources and constraints.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Providing nutrition counseling concerning health and disease.</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Developing, implementing, and managing nutrition care systems.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Evaluating, making changes in, and maintaining appropriate standards of quality in food and nutrition services.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7925C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481—921.3</w:t>
      </w:r>
      <w:r>
        <w:rPr>
          <w:rFonts w:ascii="Times New Roman" w:hAnsi="Times New Roman"/>
          <w:b/>
          <w:i w:val="false"/>
          <w:color w:val="000000"/>
          <w:sz w:val="22"/>
        </w:rPr>
        <w:t xml:space="preserve">(152A) </w:t>
      </w:r>
      <w:r>
        <w:rPr>
          <w:rFonts w:ascii="Times New Roman" w:hAnsi="Times New Roman"/>
          <w:b/>
          <w:i w:val="false"/>
          <w:color w:val="000000"/>
          <w:sz w:val="22"/>
        </w:rPr>
        <w:t xml:space="preserve">Requirements for licensure. </w:t>
      </w:r>
      <w:r>
        <w:rPr>
          <w:rFonts w:ascii="Times New Roman" w:hAnsi="Times New Roman"/>
          <w:b w:val="false"/>
          <w:i w:val="false"/>
          <w:color w:val="000000"/>
          <w:sz w:val="22"/>
        </w:rPr>
        <w:t>The following criteria apply to licensure: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921.3(1)</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applicant submits a completed online application for licensure and pay the nonrefundable licensure fee specified in rule </w:t>
      </w:r>
      <w:hyperlink r:id="rId7">
        <w:r>
          <w:rPr>
            <w:rStyle w:val="Hyperlink"/>
            <w:rFonts w:ascii="Times New Roman" w:hAnsi="Times New Roman"/>
            <w:b w:val="false"/>
            <w:i w:val="false"/>
            <w:color w:val="000000"/>
            <w:sz w:val="22"/>
          </w:rPr>
          <w:t>481—507.6</w:t>
        </w:r>
      </w:hyperlink>
      <w:r>
        <w:rPr>
          <w:rFonts w:ascii="Times New Roman" w:hAnsi="Times New Roman"/>
          <w:b w:val="false"/>
          <w:i w:val="false"/>
          <w:color w:val="000000"/>
          <w:sz w:val="22"/>
        </w:rPr>
        <w:t>(147,152A).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921.3(2)</w:t>
      </w:r>
      <w:r>
        <w:rPr>
          <w:rFonts w:ascii="Times New Roman" w:hAnsi="Times New Roman"/>
          <w:b w:val="false"/>
          <w:i w:val="false"/>
          <w:color w:val="000000"/>
          <w:sz w:val="22"/>
        </w:rPr>
        <w:t> </w:t>
      </w:r>
      <w:r>
        <w:rPr>
          <w:rFonts w:ascii="Times New Roman" w:hAnsi="Times New Roman"/>
          <w:b w:val="false"/>
          <w:i w:val="false"/>
          <w:color w:val="000000"/>
          <w:sz w:val="22"/>
        </w:rPr>
        <w:t>No application will be considered by the board until the applicant satisfactorily completes the registration examination for dietitians administered by the Commission on Dietetic Registration (CDR). The board will accept the passing score set by the CDR. Verification of satisfactory completion may be established by one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applicant sends to the board a copy of the CDR registration card;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CDR sends an official letter directly to the board to verify that the applicant holds registration status;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CDR posts web-based verification that the applicant holds registration status.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921.3(3)</w:t>
      </w:r>
      <w:r>
        <w:rPr>
          <w:rFonts w:ascii="Times New Roman" w:hAnsi="Times New Roman"/>
          <w:b w:val="false"/>
          <w:i w:val="false"/>
          <w:color w:val="000000"/>
          <w:sz w:val="22"/>
        </w:rPr>
        <w:t> </w:t>
      </w:r>
      <w:r>
        <w:rPr>
          <w:rFonts w:ascii="Times New Roman" w:hAnsi="Times New Roman"/>
          <w:b w:val="false"/>
          <w:i w:val="false"/>
          <w:color w:val="000000"/>
          <w:sz w:val="22"/>
        </w:rPr>
        <w:t xml:space="preserve">A license is not required for dietitians who are in this state for the purpose of consultation, in accordance with rule </w:t>
      </w:r>
      <w:hyperlink r:id="rId8">
        <w:r>
          <w:rPr>
            <w:rStyle w:val="Hyperlink"/>
            <w:rFonts w:ascii="Times New Roman" w:hAnsi="Times New Roman"/>
            <w:b w:val="false"/>
            <w:i w:val="false"/>
            <w:color w:val="000000"/>
            <w:sz w:val="22"/>
          </w:rPr>
          <w:t>481—921.1</w:t>
        </w:r>
      </w:hyperlink>
      <w:r>
        <w:rPr>
          <w:rFonts w:ascii="Times New Roman" w:hAnsi="Times New Roman"/>
          <w:b w:val="false"/>
          <w:i w:val="false"/>
          <w:color w:val="000000"/>
          <w:sz w:val="22"/>
        </w:rPr>
        <w:t xml:space="preserve">(152A), when they are licensed in another state, U.S. territory, or country, or have received at least a baccalaureate degree in human nutrition from a U.S. regionally accredited college or university.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921.3(4)</w:t>
      </w:r>
      <w:r>
        <w:rPr>
          <w:rFonts w:ascii="Times New Roman" w:hAnsi="Times New Roman"/>
          <w:b w:val="false"/>
          <w:i w:val="false"/>
          <w:color w:val="000000"/>
          <w:sz w:val="22"/>
        </w:rPr>
        <w:t> </w:t>
      </w:r>
      <w:r>
        <w:rPr>
          <w:rFonts w:ascii="Times New Roman" w:hAnsi="Times New Roman"/>
          <w:b w:val="false"/>
          <w:i w:val="false"/>
          <w:color w:val="000000"/>
          <w:sz w:val="22"/>
        </w:rPr>
        <w:t>Incomplete applications that have been on file in the board office for more than two years will be considered invalid and destroyed.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7925C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481—921.4</w:t>
      </w:r>
      <w:r>
        <w:rPr>
          <w:rFonts w:ascii="Times New Roman" w:hAnsi="Times New Roman"/>
          <w:b/>
          <w:i w:val="false"/>
          <w:color w:val="000000"/>
          <w:sz w:val="22"/>
        </w:rPr>
        <w:t xml:space="preserve">(152A) </w:t>
      </w:r>
      <w:r>
        <w:rPr>
          <w:rFonts w:ascii="Times New Roman" w:hAnsi="Times New Roman"/>
          <w:b/>
          <w:i w:val="false"/>
          <w:color w:val="000000"/>
          <w:sz w:val="22"/>
        </w:rPr>
        <w:t xml:space="preserve">Educational qualifications.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921.4(1)</w:t>
      </w:r>
      <w:r>
        <w:rPr>
          <w:rFonts w:ascii="Times New Roman" w:hAnsi="Times New Roman"/>
          <w:b w:val="false"/>
          <w:i w:val="false"/>
          <w:color w:val="000000"/>
          <w:sz w:val="22"/>
        </w:rPr>
        <w:t> </w:t>
      </w:r>
      <w:r>
        <w:rPr>
          <w:rFonts w:ascii="Times New Roman" w:hAnsi="Times New Roman"/>
          <w:b w:val="false"/>
          <w:i w:val="false"/>
          <w:color w:val="000000"/>
          <w:sz w:val="22"/>
        </w:rPr>
        <w:t>The applicant shall possess a baccalaureate degree or postbaccalaureate degree from a U.S. regionally accredited college or university with a major course of study in human nutrition, food and nutrition, nutrition education, dietetics, or food systems management, or in an equivalent major course of study, that meets minimum academic requirements as established by the Accreditation Council for Education in Nutrition and Dietetics (ACEND) of the Academy of Nutrition and Dietetics (AND) and is approved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921.4(2)</w:t>
      </w:r>
      <w:r>
        <w:rPr>
          <w:rFonts w:ascii="Times New Roman" w:hAnsi="Times New Roman"/>
          <w:b w:val="false"/>
          <w:i w:val="false"/>
          <w:color w:val="000000"/>
          <w:sz w:val="22"/>
        </w:rPr>
        <w:t> </w:t>
      </w:r>
      <w:r>
        <w:rPr>
          <w:rFonts w:ascii="Times New Roman" w:hAnsi="Times New Roman"/>
          <w:b w:val="false"/>
          <w:i w:val="false"/>
          <w:color w:val="000000"/>
          <w:sz w:val="22"/>
        </w:rPr>
        <w:t>A foreign-trained dietitian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Provide an official letter sent directly from the Commission on Dietetic Registration (CDR) to the board to verify that the applicant has met the minimum academic and didactic program requirements of the CDR. Foreign degree equivalency evaluation requirements of the ACEND of the AND are listed on the ACEND website,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Provide evidence of meeting all other requirements in these rules.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7925C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481—921.5</w:t>
      </w:r>
      <w:r>
        <w:rPr>
          <w:rFonts w:ascii="Times New Roman" w:hAnsi="Times New Roman"/>
          <w:b/>
          <w:i w:val="false"/>
          <w:color w:val="000000"/>
          <w:sz w:val="22"/>
        </w:rPr>
        <w:t xml:space="preserve">(152A) </w:t>
      </w:r>
      <w:r>
        <w:rPr>
          <w:rFonts w:ascii="Times New Roman" w:hAnsi="Times New Roman"/>
          <w:b/>
          <w:i w:val="false"/>
          <w:color w:val="000000"/>
          <w:sz w:val="22"/>
        </w:rPr>
        <w:t xml:space="preserve">Supervised experience. </w:t>
      </w:r>
      <w:r>
        <w:rPr>
          <w:rFonts w:ascii="Times New Roman" w:hAnsi="Times New Roman"/>
          <w:b w:val="false"/>
          <w:i w:val="false"/>
          <w:color w:val="000000"/>
          <w:sz w:val="22"/>
        </w:rPr>
        <w:t>The applicant shall complete an accredited competency-based supervised experience program approved by the ACEND of the AND.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7925C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481—921.6</w:t>
      </w:r>
      <w:r>
        <w:rPr>
          <w:rFonts w:ascii="Times New Roman" w:hAnsi="Times New Roman"/>
          <w:b/>
          <w:i w:val="false"/>
          <w:color w:val="000000"/>
          <w:sz w:val="22"/>
        </w:rPr>
        <w:t xml:space="preserve">(152A) </w:t>
      </w:r>
      <w:r>
        <w:rPr>
          <w:rFonts w:ascii="Times New Roman" w:hAnsi="Times New Roman"/>
          <w:b/>
          <w:i w:val="false"/>
          <w:color w:val="000000"/>
          <w:sz w:val="22"/>
        </w:rPr>
        <w:t xml:space="preserve">Licensure by endorsement. </w:t>
      </w:r>
      <w:r>
        <w:rPr>
          <w:rFonts w:ascii="Times New Roman" w:hAnsi="Times New Roman"/>
          <w:b w:val="false"/>
          <w:i w:val="false"/>
          <w:color w:val="000000"/>
          <w:sz w:val="22"/>
        </w:rPr>
        <w:t>An applicant who has been a licensed dietitian under the laws of another jurisdiction may file an application for licensure by endorsement with the board office. The board may receive by endorsement any applicant from the District of Columbia or another state, territory, province or foreign country who:</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921.6(1)</w:t>
      </w:r>
      <w:r>
        <w:rPr>
          <w:rFonts w:ascii="Times New Roman" w:hAnsi="Times New Roman"/>
          <w:b w:val="false"/>
          <w:i w:val="false"/>
          <w:color w:val="000000"/>
          <w:sz w:val="22"/>
        </w:rPr>
        <w:t> </w:t>
      </w:r>
      <w:r>
        <w:rPr>
          <w:rFonts w:ascii="Times New Roman" w:hAnsi="Times New Roman"/>
          <w:b w:val="false"/>
          <w:i w:val="false"/>
          <w:color w:val="000000"/>
          <w:sz w:val="22"/>
        </w:rPr>
        <w:t xml:space="preserve">Meets the requirements of rule </w:t>
      </w:r>
      <w:hyperlink r:id="rId9">
        <w:r>
          <w:rPr>
            <w:rStyle w:val="Hyperlink"/>
            <w:rFonts w:ascii="Times New Roman" w:hAnsi="Times New Roman"/>
            <w:b w:val="false"/>
            <w:i w:val="false"/>
            <w:color w:val="000000"/>
            <w:sz w:val="22"/>
          </w:rPr>
          <w:t>481—921.4</w:t>
        </w:r>
      </w:hyperlink>
      <w:r>
        <w:rPr>
          <w:rFonts w:ascii="Times New Roman" w:hAnsi="Times New Roman"/>
          <w:b w:val="false"/>
          <w:i w:val="false"/>
          <w:color w:val="000000"/>
          <w:sz w:val="22"/>
        </w:rPr>
        <w:t>(152A).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921.6(2)</w:t>
      </w:r>
      <w:r>
        <w:rPr>
          <w:rFonts w:ascii="Times New Roman" w:hAnsi="Times New Roman"/>
          <w:b w:val="false"/>
          <w:i w:val="false"/>
          <w:color w:val="000000"/>
          <w:sz w:val="22"/>
        </w:rPr>
        <w:t> </w:t>
      </w:r>
      <w:r>
        <w:rPr>
          <w:rFonts w:ascii="Times New Roman" w:hAnsi="Times New Roman"/>
          <w:b w:val="false"/>
          <w:i w:val="false"/>
          <w:color w:val="000000"/>
          <w:sz w:val="22"/>
        </w:rPr>
        <w:t>Provides verification of license(s) from every jurisdiction in which the applicant has been licensed, sent directly from the jurisdiction(s) to the board office. Web-based verification may be substituted for verification direct from the jurisdiction’s board office if the verification provides: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Licensee’s name;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Date of initial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Current licensure status;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Any disciplinary action taken against the license.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7925C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481—921.7</w:t>
      </w:r>
      <w:r>
        <w:rPr>
          <w:rFonts w:ascii="Times New Roman" w:hAnsi="Times New Roman"/>
          <w:b/>
          <w:i w:val="false"/>
          <w:color w:val="000000"/>
          <w:sz w:val="22"/>
        </w:rPr>
        <w:t xml:space="preserve">(152A) </w:t>
      </w:r>
      <w:r>
        <w:rPr>
          <w:rFonts w:ascii="Times New Roman" w:hAnsi="Times New Roman"/>
          <w:b/>
          <w:i w:val="false"/>
          <w:color w:val="000000"/>
          <w:sz w:val="22"/>
        </w:rPr>
        <w:t xml:space="preserve">License renewal.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921.7(1)</w:t>
      </w:r>
      <w:r>
        <w:rPr>
          <w:rFonts w:ascii="Times New Roman" w:hAnsi="Times New Roman"/>
          <w:b w:val="false"/>
          <w:i w:val="false"/>
          <w:color w:val="000000"/>
          <w:sz w:val="22"/>
        </w:rPr>
        <w:t> </w:t>
      </w:r>
      <w:r>
        <w:rPr>
          <w:rFonts w:ascii="Times New Roman" w:hAnsi="Times New Roman"/>
          <w:b w:val="false"/>
          <w:i w:val="false"/>
          <w:color w:val="000000"/>
          <w:sz w:val="22"/>
        </w:rPr>
        <w:t>The biennial license renewal period begins on the sixteenth day of the licensee’s birth month and ends on the fifteenth day of the licensee’s birth month two years later. The licensee is responsible for renewing the license prior to its expiration.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921.7(2)</w:t>
      </w:r>
      <w:r>
        <w:rPr>
          <w:rFonts w:ascii="Times New Roman" w:hAnsi="Times New Roman"/>
          <w:b w:val="false"/>
          <w:i w:val="false"/>
          <w:color w:val="000000"/>
          <w:sz w:val="22"/>
        </w:rPr>
        <w:t> </w:t>
      </w:r>
      <w:r>
        <w:rPr>
          <w:rFonts w:ascii="Times New Roman" w:hAnsi="Times New Roman"/>
          <w:b w:val="false"/>
          <w:i w:val="false"/>
          <w:color w:val="000000"/>
          <w:sz w:val="22"/>
        </w:rPr>
        <w:t xml:space="preserve">An initial license issued by the board may be valid for an 18- to 29-month period. When an initial license is renewed, it will be placed on a two-year renewal period identified in subrule </w:t>
      </w:r>
      <w:r>
        <w:rPr>
          <w:rFonts w:ascii="Times New Roman" w:hAnsi="Times New Roman"/>
          <w:b w:val="false"/>
          <w:i w:val="false"/>
          <w:color w:val="000000"/>
          <w:sz w:val="22"/>
        </w:rPr>
        <w:t>921.9(1)</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921.7(3)</w:t>
      </w:r>
      <w:r>
        <w:rPr>
          <w:rFonts w:ascii="Times New Roman" w:hAnsi="Times New Roman"/>
          <w:b w:val="false"/>
          <w:i w:val="false"/>
          <w:color w:val="000000"/>
          <w:sz w:val="22"/>
        </w:rPr>
        <w:t> </w:t>
      </w:r>
      <w:r>
        <w:rPr>
          <w:rFonts w:ascii="Times New Roman" w:hAnsi="Times New Roman"/>
          <w:b w:val="false"/>
          <w:i w:val="false"/>
          <w:color w:val="000000"/>
          <w:sz w:val="22"/>
        </w:rPr>
        <w:t>A licensee seeking renewal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Meet the continuing education requirements of rule </w:t>
      </w:r>
      <w:hyperlink r:id="rId10">
        <w:r>
          <w:rPr>
            <w:rStyle w:val="Hyperlink"/>
            <w:rFonts w:ascii="Times New Roman" w:hAnsi="Times New Roman"/>
            <w:b w:val="false"/>
            <w:i w:val="false"/>
            <w:color w:val="000000"/>
            <w:sz w:val="22"/>
          </w:rPr>
          <w:t>481—922.2</w:t>
        </w:r>
      </w:hyperlink>
      <w:r>
        <w:rPr>
          <w:rFonts w:ascii="Times New Roman" w:hAnsi="Times New Roman"/>
          <w:b w:val="false"/>
          <w:i w:val="false"/>
          <w:color w:val="000000"/>
          <w:sz w:val="22"/>
        </w:rPr>
        <w:t xml:space="preserve">(152A) and the mandatory reporting requirements of subrule </w:t>
      </w:r>
      <w:r>
        <w:rPr>
          <w:rFonts w:ascii="Times New Roman" w:hAnsi="Times New Roman"/>
          <w:b w:val="false"/>
          <w:i w:val="false"/>
          <w:color w:val="000000"/>
          <w:sz w:val="22"/>
        </w:rPr>
        <w:t>921.9(4)</w:t>
      </w:r>
      <w:r>
        <w:rPr>
          <w:rFonts w:ascii="Times New Roman" w:hAnsi="Times New Roman"/>
          <w:b w:val="false"/>
          <w:i w:val="false"/>
          <w:color w:val="000000"/>
          <w:sz w:val="22"/>
        </w:rPr>
        <w:t>. A licensee whose license was reactivated during the current renewal compliance period may use continuing education credit earned during the compliance period for the first renewal following reactivation;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Submit the completed renewal application and renewal fee before the license expiration date.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921.7(4)</w:t>
      </w:r>
      <w:r>
        <w:rPr>
          <w:rFonts w:ascii="Times New Roman" w:hAnsi="Times New Roman"/>
          <w:b w:val="false"/>
          <w:i w:val="false"/>
          <w:color w:val="000000"/>
          <w:sz w:val="22"/>
        </w:rPr>
        <w:t> </w:t>
      </w:r>
      <w:r>
        <w:rPr>
          <w:rFonts w:ascii="Times New Roman" w:hAnsi="Times New Roman"/>
          <w:b w:val="false"/>
          <w:i w:val="false"/>
          <w:color w:val="000000"/>
          <w:sz w:val="22"/>
        </w:rPr>
        <w:t>Mandatory reporter training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licensee who, in the scope of professional practice or in the licensee’s employment responsibilities, examines, attends, counsels or treats children and dependent adults in Iowa will complete the applicable department of health and human services training relating to the identification and reporting of child and dependent adult abuse as required by Iowa Code section </w:t>
      </w:r>
      <w:hyperlink r:id="rId11">
        <w:r>
          <w:rPr>
            <w:rStyle w:val="Hyperlink"/>
            <w:rFonts w:ascii="Times New Roman" w:hAnsi="Times New Roman"/>
            <w:b w:val="false"/>
            <w:i w:val="false"/>
            <w:color w:val="000000"/>
            <w:sz w:val="22"/>
          </w:rPr>
          <w:t>232.69(3)</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Written documentation of training completion should be maintained for three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requirement for mandatory training for identifying and reporting child and dependent adult abuse is suspended if the board determines that suspension is in the public interest or that a person at the time of license renewal: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Is engaged in active duty in the military service of this state or the United States.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Holds a current waiver by the board based on evidence of significant hardship in complying with training requirements, including an exemption of continuing education requirements or extension of time in which to fulfill requirements due to a physical or mental disability or illness as identified in rule </w:t>
      </w:r>
      <w:hyperlink r:id="rId12">
        <w:r>
          <w:rPr>
            <w:rStyle w:val="Hyperlink"/>
            <w:rFonts w:ascii="Times New Roman" w:hAnsi="Times New Roman"/>
            <w:b w:val="false"/>
            <w:i w:val="false"/>
            <w:color w:val="000000"/>
            <w:sz w:val="22"/>
          </w:rPr>
          <w:t>481—500.14</w:t>
        </w:r>
      </w:hyperlink>
      <w:r>
        <w:rPr>
          <w:rFonts w:ascii="Times New Roman" w:hAnsi="Times New Roman"/>
          <w:b w:val="false"/>
          <w:i w:val="false"/>
          <w:color w:val="000000"/>
          <w:sz w:val="22"/>
        </w:rPr>
        <w:t>(272C).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board may select licensees for audit of compliance with the requirements in paragraphs </w:t>
      </w:r>
      <w:r>
        <w:rPr>
          <w:rFonts w:ascii="Times New Roman" w:hAnsi="Times New Roman"/>
          <w:b w:val="false"/>
          <w:i w:val="false"/>
          <w:color w:val="000000"/>
          <w:sz w:val="22"/>
        </w:rPr>
        <w:t>921.9(4)</w:t>
      </w:r>
      <w:r>
        <w:rPr>
          <w:rFonts w:ascii="Times New Roman" w:hAnsi="Times New Roman"/>
          <w:b w:val="false"/>
          <w:i/>
          <w:color w:val="000000"/>
          <w:sz w:val="22"/>
        </w:rPr>
        <w:t>“a”</w:t>
      </w:r>
      <w:r>
        <w:rPr>
          <w:rFonts w:ascii="Times New Roman" w:hAnsi="Times New Roman"/>
          <w:b w:val="false"/>
          <w:i w:val="false"/>
          <w:color w:val="000000"/>
          <w:sz w:val="22"/>
        </w:rPr>
        <w:t xml:space="preserve"> and </w:t>
      </w:r>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921.7(5)</w:t>
      </w:r>
      <w:r>
        <w:rPr>
          <w:rFonts w:ascii="Times New Roman" w:hAnsi="Times New Roman"/>
          <w:b w:val="false"/>
          <w:i w:val="false"/>
          <w:color w:val="000000"/>
          <w:sz w:val="22"/>
        </w:rPr>
        <w:t> </w:t>
      </w:r>
      <w:r>
        <w:rPr>
          <w:rFonts w:ascii="Times New Roman" w:hAnsi="Times New Roman"/>
          <w:b w:val="false"/>
          <w:i w:val="false"/>
          <w:color w:val="000000"/>
          <w:sz w:val="22"/>
        </w:rPr>
        <w:t>Upon receiving the information required by this rule and the required fee, a two-year license will be administratively issued. In the event the board receives adverse information on the renewal application, the renewal license will be issued but the board may refer the adverse information for further consideration or disciplinary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921.7(6)</w:t>
      </w:r>
      <w:r>
        <w:rPr>
          <w:rFonts w:ascii="Times New Roman" w:hAnsi="Times New Roman"/>
          <w:b w:val="false"/>
          <w:i w:val="false"/>
          <w:color w:val="000000"/>
          <w:sz w:val="22"/>
        </w:rPr>
        <w:t> </w:t>
      </w:r>
      <w:r>
        <w:rPr>
          <w:rFonts w:ascii="Times New Roman" w:hAnsi="Times New Roman"/>
          <w:b w:val="false"/>
          <w:i w:val="false"/>
          <w:color w:val="000000"/>
          <w:sz w:val="22"/>
        </w:rPr>
        <w:t>The license certificate and proof of active licensure will be displayed in a conspicuous public place at the primary site of practice.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921.7(7)</w:t>
      </w:r>
      <w:r>
        <w:rPr>
          <w:rFonts w:ascii="Times New Roman" w:hAnsi="Times New Roman"/>
          <w:b w:val="false"/>
          <w:i w:val="false"/>
          <w:color w:val="000000"/>
          <w:sz w:val="22"/>
        </w:rPr>
        <w:t> </w:t>
      </w:r>
      <w:r>
        <w:rPr>
          <w:rFonts w:ascii="Times New Roman" w:hAnsi="Times New Roman"/>
          <w:b w:val="false"/>
          <w:i w:val="false"/>
          <w:color w:val="000000"/>
          <w:sz w:val="22"/>
        </w:rPr>
        <w:t xml:space="preserve">Late renewal. A license not renewed by the expiration date will be assessed a late fee as specified in </w:t>
      </w:r>
      <w:hyperlink r:id="rId13">
        <w:r>
          <w:rPr>
            <w:rStyle w:val="Hyperlink"/>
            <w:rFonts w:ascii="Times New Roman" w:hAnsi="Times New Roman"/>
            <w:b w:val="false"/>
            <w:i w:val="false"/>
            <w:color w:val="000000"/>
            <w:sz w:val="22"/>
          </w:rPr>
          <w:t>481—subrule 507.6(3)</w:t>
        </w:r>
      </w:hyperlink>
      <w:r>
        <w:rPr>
          <w:rFonts w:ascii="Times New Roman" w:hAnsi="Times New Roman"/>
          <w:b w:val="false"/>
          <w:i w:val="false"/>
          <w:color w:val="000000"/>
          <w:sz w:val="22"/>
        </w:rPr>
        <w:t>. Completion of renewal requirements and submission of the late fee within the grace period are needed to renew the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921.7(8)</w:t>
      </w:r>
      <w:r>
        <w:rPr>
          <w:rFonts w:ascii="Times New Roman" w:hAnsi="Times New Roman"/>
          <w:b w:val="false"/>
          <w:i w:val="false"/>
          <w:color w:val="000000"/>
          <w:sz w:val="22"/>
        </w:rPr>
        <w:t> </w:t>
      </w:r>
      <w:r>
        <w:rPr>
          <w:rFonts w:ascii="Times New Roman" w:hAnsi="Times New Roman"/>
          <w:b w:val="false"/>
          <w:i w:val="false"/>
          <w:color w:val="000000"/>
          <w:sz w:val="22"/>
        </w:rPr>
        <w:t xml:space="preserve">Inactive license. A license not renewed by the end of the grace period is inactive. A licensee whose license is inactive continues to hold the privilege of licensure in Iowa, but may not practice as a dietitian in Iowa until the license is reactivated. A licensee who practices as a dietitian in the state of Iowa with an inactive license may be subject to disciplinary action by the board, injunctive action pursuant to Iowa Code section </w:t>
      </w:r>
      <w:hyperlink r:id="rId14">
        <w:r>
          <w:rPr>
            <w:rStyle w:val="Hyperlink"/>
            <w:rFonts w:ascii="Times New Roman" w:hAnsi="Times New Roman"/>
            <w:b w:val="false"/>
            <w:i w:val="false"/>
            <w:color w:val="000000"/>
            <w:sz w:val="22"/>
          </w:rPr>
          <w:t>147.83</w:t>
        </w:r>
      </w:hyperlink>
      <w:r>
        <w:rPr>
          <w:rFonts w:ascii="Times New Roman" w:hAnsi="Times New Roman"/>
          <w:b w:val="false"/>
          <w:i w:val="false"/>
          <w:color w:val="000000"/>
          <w:sz w:val="22"/>
        </w:rPr>
        <w:t xml:space="preserve">, criminal sanctions pursuant to Iowa Code section </w:t>
      </w:r>
      <w:hyperlink r:id="rId15">
        <w:r>
          <w:rPr>
            <w:rStyle w:val="Hyperlink"/>
            <w:rFonts w:ascii="Times New Roman" w:hAnsi="Times New Roman"/>
            <w:b w:val="false"/>
            <w:i w:val="false"/>
            <w:color w:val="000000"/>
            <w:sz w:val="22"/>
          </w:rPr>
          <w:t>147.86</w:t>
        </w:r>
      </w:hyperlink>
      <w:r>
        <w:rPr>
          <w:rFonts w:ascii="Times New Roman" w:hAnsi="Times New Roman"/>
          <w:b w:val="false"/>
          <w:i w:val="false"/>
          <w:color w:val="000000"/>
          <w:sz w:val="22"/>
        </w:rPr>
        <w:t>, and other available legal remedies.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921.7(9)</w:t>
      </w:r>
      <w:r>
        <w:rPr>
          <w:rFonts w:ascii="Times New Roman" w:hAnsi="Times New Roman"/>
          <w:b w:val="false"/>
          <w:i w:val="false"/>
          <w:color w:val="000000"/>
          <w:sz w:val="22"/>
        </w:rPr>
        <w:t> </w:t>
      </w:r>
      <w:r>
        <w:rPr>
          <w:rFonts w:ascii="Times New Roman" w:hAnsi="Times New Roman"/>
          <w:b w:val="false"/>
          <w:i w:val="false"/>
          <w:color w:val="000000"/>
          <w:sz w:val="22"/>
        </w:rPr>
        <w:t xml:space="preserve">Renewal of a reactivated license. A licensee who reactivates the license in accordance with rule </w:t>
      </w:r>
      <w:hyperlink r:id="rId16">
        <w:r>
          <w:rPr>
            <w:rStyle w:val="Hyperlink"/>
            <w:rFonts w:ascii="Times New Roman" w:hAnsi="Times New Roman"/>
            <w:b w:val="false"/>
            <w:i w:val="false"/>
            <w:color w:val="000000"/>
            <w:sz w:val="22"/>
          </w:rPr>
          <w:t>481—921.8</w:t>
        </w:r>
      </w:hyperlink>
      <w:r>
        <w:rPr>
          <w:rFonts w:ascii="Times New Roman" w:hAnsi="Times New Roman"/>
          <w:b w:val="false"/>
          <w:i w:val="false"/>
          <w:color w:val="000000"/>
          <w:sz w:val="22"/>
        </w:rPr>
        <w:t>(17A,147,272C) will not be required to renew the license until the next renewal two years later if the license is reactivated within six months prior to the license renewal date.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7925C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481—921.8</w:t>
      </w:r>
      <w:r>
        <w:rPr>
          <w:rFonts w:ascii="Times New Roman" w:hAnsi="Times New Roman"/>
          <w:b/>
          <w:i w:val="false"/>
          <w:color w:val="000000"/>
          <w:sz w:val="22"/>
        </w:rPr>
        <w:t xml:space="preserve">(17A,147,272C) </w:t>
      </w:r>
      <w:r>
        <w:rPr>
          <w:rFonts w:ascii="Times New Roman" w:hAnsi="Times New Roman"/>
          <w:b/>
          <w:i w:val="false"/>
          <w:color w:val="000000"/>
          <w:sz w:val="22"/>
        </w:rPr>
        <w:t xml:space="preserve">License reactivation. </w:t>
      </w:r>
      <w:r>
        <w:rPr>
          <w:rFonts w:ascii="Times New Roman" w:hAnsi="Times New Roman"/>
          <w:b w:val="false"/>
          <w:i w:val="false"/>
          <w:color w:val="000000"/>
          <w:sz w:val="22"/>
        </w:rPr>
        <w:t>To apply for reactivation of an inactive license, a licensee shall: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921.8(1)</w:t>
      </w:r>
      <w:r>
        <w:rPr>
          <w:rFonts w:ascii="Times New Roman" w:hAnsi="Times New Roman"/>
          <w:b w:val="false"/>
          <w:i w:val="false"/>
          <w:color w:val="000000"/>
          <w:sz w:val="22"/>
        </w:rPr>
        <w:t> </w:t>
      </w:r>
      <w:r>
        <w:rPr>
          <w:rFonts w:ascii="Times New Roman" w:hAnsi="Times New Roman"/>
          <w:b w:val="false"/>
          <w:i w:val="false"/>
          <w:color w:val="000000"/>
          <w:sz w:val="22"/>
        </w:rPr>
        <w:t xml:space="preserve">Submit a reactivation application and pay the reactivation fee as specified in </w:t>
      </w:r>
      <w:hyperlink r:id="rId17">
        <w:r>
          <w:rPr>
            <w:rStyle w:val="Hyperlink"/>
            <w:rFonts w:ascii="Times New Roman" w:hAnsi="Times New Roman"/>
            <w:b w:val="false"/>
            <w:i w:val="false"/>
            <w:color w:val="000000"/>
            <w:sz w:val="22"/>
          </w:rPr>
          <w:t>481—Chapter 507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921.8(2)</w:t>
      </w:r>
      <w:r>
        <w:rPr>
          <w:rFonts w:ascii="Times New Roman" w:hAnsi="Times New Roman"/>
          <w:b w:val="false"/>
          <w:i w:val="false"/>
          <w:color w:val="000000"/>
          <w:sz w:val="22"/>
        </w:rPr>
        <w:t> </w:t>
      </w:r>
      <w:r>
        <w:rPr>
          <w:rFonts w:ascii="Times New Roman" w:hAnsi="Times New Roman"/>
          <w:b w:val="false"/>
          <w:i w:val="false"/>
          <w:color w:val="000000"/>
          <w:sz w:val="22"/>
        </w:rPr>
        <w:t>Provide verification of current competence to practice dietetics by satisfying one of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license has been on inactive status for five years or less, an applicant must provide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Verification of the license(s) from every jurisdiction in which the applicant is or has been licensed and is or has been practicing during the time period the Iowa license was inactive, sent directly from the jurisdiction(s) to the board office. Web-based verification may be substituted for verification from a jurisdiction’s board office if the verification includes: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Licensee’s name;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Date of initial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Current licensure status;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Any disciplinary action taken against the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Verification of completion of 30 hours of continuing education within two years of the application for reactivation.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license has been on inactive status for more than five years, an applicant must provide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Verification of the license(s) from every jurisdiction in which the applicant is or has been licensed and is or has been practicing during the time period the Iowa license was inactive, sent directly from the jurisdiction(s) to the board office. Web-based verification may be substituted for verification from a jurisdiction’s board office if the verification includes: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Licensee’s name;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Date of initial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Current licensure status;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Any disciplinary action taken against the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Verification of completion of 60 hours of continuing education within two years of application for reactivation.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7925C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481—921.9</w:t>
      </w:r>
      <w:r>
        <w:rPr>
          <w:rFonts w:ascii="Times New Roman" w:hAnsi="Times New Roman"/>
          <w:b/>
          <w:i w:val="false"/>
          <w:color w:val="000000"/>
          <w:sz w:val="22"/>
        </w:rPr>
        <w:t xml:space="preserve">(17A,147,272C) </w:t>
      </w:r>
      <w:r>
        <w:rPr>
          <w:rFonts w:ascii="Times New Roman" w:hAnsi="Times New Roman"/>
          <w:b/>
          <w:i w:val="false"/>
          <w:color w:val="000000"/>
          <w:sz w:val="22"/>
        </w:rPr>
        <w:t xml:space="preserve">License reinstatement. </w:t>
      </w:r>
      <w:r>
        <w:rPr>
          <w:rFonts w:ascii="Times New Roman" w:hAnsi="Times New Roman"/>
          <w:b w:val="false"/>
          <w:i w:val="false"/>
          <w:color w:val="000000"/>
          <w:sz w:val="22"/>
        </w:rPr>
        <w:t xml:space="preserve">A licensee whose license has been revoked, suspended, or voluntarily surrendered must apply for and receive reinstatement of the license in accordance with rule </w:t>
      </w:r>
      <w:hyperlink r:id="rId18">
        <w:r>
          <w:rPr>
            <w:rStyle w:val="Hyperlink"/>
            <w:rFonts w:ascii="Times New Roman" w:hAnsi="Times New Roman"/>
            <w:b w:val="false"/>
            <w:i w:val="false"/>
            <w:color w:val="000000"/>
            <w:sz w:val="22"/>
          </w:rPr>
          <w:t>481—506.31</w:t>
        </w:r>
      </w:hyperlink>
      <w:r>
        <w:rPr>
          <w:rFonts w:ascii="Times New Roman" w:hAnsi="Times New Roman"/>
          <w:b w:val="false"/>
          <w:i w:val="false"/>
          <w:color w:val="000000"/>
          <w:sz w:val="22"/>
        </w:rPr>
        <w:t xml:space="preserve">(272C) and must apply for and be granted reactivation of the license in accordance with rule </w:t>
      </w:r>
      <w:hyperlink r:id="rId19">
        <w:r>
          <w:rPr>
            <w:rStyle w:val="Hyperlink"/>
            <w:rFonts w:ascii="Times New Roman" w:hAnsi="Times New Roman"/>
            <w:b w:val="false"/>
            <w:i w:val="false"/>
            <w:color w:val="000000"/>
            <w:sz w:val="22"/>
          </w:rPr>
          <w:t>481—921.8</w:t>
        </w:r>
      </w:hyperlink>
      <w:r>
        <w:rPr>
          <w:rFonts w:ascii="Times New Roman" w:hAnsi="Times New Roman"/>
          <w:b w:val="false"/>
          <w:i w:val="false"/>
          <w:color w:val="000000"/>
          <w:sz w:val="22"/>
        </w:rPr>
        <w:t>(17A,147,272C) prior to practicing dietetics in this state.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7925C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481—921.10</w:t>
      </w:r>
      <w:r>
        <w:rPr>
          <w:rFonts w:ascii="Times New Roman" w:hAnsi="Times New Roman"/>
          <w:b/>
          <w:i w:val="false"/>
          <w:color w:val="000000"/>
          <w:sz w:val="22"/>
        </w:rPr>
        <w:t xml:space="preserve">(152A,272C) </w:t>
      </w:r>
      <w:r>
        <w:rPr>
          <w:rFonts w:ascii="Times New Roman" w:hAnsi="Times New Roman"/>
          <w:b/>
          <w:i w:val="false"/>
          <w:color w:val="000000"/>
          <w:sz w:val="22"/>
        </w:rPr>
        <w:t xml:space="preserve">Telehealth visits. </w:t>
      </w:r>
      <w:r>
        <w:rPr>
          <w:rFonts w:ascii="Times New Roman" w:hAnsi="Times New Roman"/>
          <w:b w:val="false"/>
          <w:i w:val="false"/>
          <w:color w:val="000000"/>
          <w:sz w:val="22"/>
        </w:rPr>
        <w:t>A licensee may provide dietetic services to an individual or a group utilizing a telehealth visit if the dietetic services are provided in accordance with all the requirements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921.10(1)</w:t>
      </w:r>
      <w:r>
        <w:rPr>
          <w:rFonts w:ascii="Times New Roman" w:hAnsi="Times New Roman"/>
          <w:b w:val="false"/>
          <w:i w:val="false"/>
          <w:color w:val="000000"/>
          <w:sz w:val="22"/>
        </w:rPr>
        <w:t> </w:t>
      </w:r>
      <w:r>
        <w:rPr>
          <w:rFonts w:ascii="Times New Roman" w:hAnsi="Times New Roman"/>
          <w:b w:val="false"/>
          <w:i w:val="false"/>
          <w:color w:val="000000"/>
          <w:sz w:val="22"/>
        </w:rPr>
        <w:t>“Telehealth visit” means the provision of dietetic services by a licensee to an individual or a group using technology where the licensee and the individual or group are not at the same physical location for the therapy session.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921.10(2)</w:t>
      </w:r>
      <w:r>
        <w:rPr>
          <w:rFonts w:ascii="Times New Roman" w:hAnsi="Times New Roman"/>
          <w:b w:val="false"/>
          <w:i w:val="false"/>
          <w:color w:val="000000"/>
          <w:sz w:val="22"/>
        </w:rPr>
        <w:t> </w:t>
      </w:r>
      <w:r>
        <w:rPr>
          <w:rFonts w:ascii="Times New Roman" w:hAnsi="Times New Roman"/>
          <w:b w:val="false"/>
          <w:i w:val="false"/>
          <w:color w:val="000000"/>
          <w:sz w:val="22"/>
        </w:rPr>
        <w:t xml:space="preserve">A licensee engaged in a telehealth visit will utilize technology that is secure and, pursuant to the Health Insurance Portability and Accountability Act of 1996, Pub.L. 104-191, August 21, 1996, 110 Stat. 1936, and any amendments as of March 22, 2024, HIPAA-compliant and that includes, at a minimum, audio or video equipment or both that allows two-way real-time interactive communication between the licensee and the individual or group. A licensee may use non-real-time technologies to prepare for a session or to communicate with an individual or a group between sessions.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921.10(3)</w:t>
      </w:r>
      <w:r>
        <w:rPr>
          <w:rFonts w:ascii="Times New Roman" w:hAnsi="Times New Roman"/>
          <w:b w:val="false"/>
          <w:i w:val="false"/>
          <w:color w:val="000000"/>
          <w:sz w:val="22"/>
        </w:rPr>
        <w:t> </w:t>
      </w:r>
      <w:r>
        <w:rPr>
          <w:rFonts w:ascii="Times New Roman" w:hAnsi="Times New Roman"/>
          <w:b w:val="false"/>
          <w:i w:val="false"/>
          <w:color w:val="000000"/>
          <w:sz w:val="22"/>
        </w:rPr>
        <w:t>A licensee engaged in a telehealth visit will be held to the same standard of care as a licensee who provides in-person dietetic services. A licensee will not utilize a telehealth visit if the standard of care for the particular services cannot be met by using technology.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921.10(4)</w:t>
      </w:r>
      <w:r>
        <w:rPr>
          <w:rFonts w:ascii="Times New Roman" w:hAnsi="Times New Roman"/>
          <w:b w:val="false"/>
          <w:i w:val="false"/>
          <w:color w:val="000000"/>
          <w:sz w:val="22"/>
        </w:rPr>
        <w:t> </w:t>
      </w:r>
      <w:r>
        <w:rPr>
          <w:rFonts w:ascii="Times New Roman" w:hAnsi="Times New Roman"/>
          <w:b w:val="false"/>
          <w:i w:val="false"/>
          <w:color w:val="000000"/>
          <w:sz w:val="22"/>
        </w:rPr>
        <w:t>Any licensee who provides a telehealth visit to an individual or a group located in Iowa shall be licensed in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921.10(5)</w:t>
      </w:r>
      <w:r>
        <w:rPr>
          <w:rFonts w:ascii="Times New Roman" w:hAnsi="Times New Roman"/>
          <w:b w:val="false"/>
          <w:i w:val="false"/>
          <w:color w:val="000000"/>
          <w:sz w:val="22"/>
        </w:rPr>
        <w:t> </w:t>
      </w:r>
      <w:r>
        <w:rPr>
          <w:rFonts w:ascii="Times New Roman" w:hAnsi="Times New Roman"/>
          <w:b w:val="false"/>
          <w:i w:val="false"/>
          <w:color w:val="000000"/>
          <w:sz w:val="22"/>
        </w:rPr>
        <w:t>Prior to the first telehealth visit, a licensee is to obtain informed consent from the individual or group specific to the services that will be provided in a telehealth visit. At a minimum, the informed consent shall specifically inform the individual or group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risks and limitations of the use of technology to provide dietetics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potential for unauthorized access to protected health information;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potential for disruption of technology during a telehealth visit.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921.10(6)</w:t>
      </w:r>
      <w:r>
        <w:rPr>
          <w:rFonts w:ascii="Times New Roman" w:hAnsi="Times New Roman"/>
          <w:b w:val="false"/>
          <w:i w:val="false"/>
          <w:color w:val="000000"/>
          <w:sz w:val="22"/>
        </w:rPr>
        <w:t> </w:t>
      </w:r>
      <w:r>
        <w:rPr>
          <w:rFonts w:ascii="Times New Roman" w:hAnsi="Times New Roman"/>
          <w:b w:val="false"/>
          <w:i w:val="false"/>
          <w:color w:val="000000"/>
          <w:sz w:val="22"/>
        </w:rPr>
        <w:t>A licensee will identify in the clinical record when dietetic services are provided utilizing a telehealth visit.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7925C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chapters </w:t>
      </w:r>
      <w:hyperlink r:id="rId20">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21">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 xml:space="preserve">, </w:t>
      </w:r>
      <w:hyperlink r:id="rId22">
        <w:r>
          <w:rPr>
            <w:rStyle w:val="Hyperlink"/>
            <w:rFonts w:ascii="Times New Roman" w:hAnsi="Times New Roman"/>
            <w:b w:val="false"/>
            <w:i w:val="false"/>
            <w:color w:val="000000"/>
            <w:sz w:val="22"/>
          </w:rPr>
          <w:t>152A</w:t>
        </w:r>
      </w:hyperlink>
      <w:r>
        <w:rPr>
          <w:rFonts w:ascii="Times New Roman" w:hAnsi="Times New Roman"/>
          <w:b w:val="false"/>
          <w:i w:val="false"/>
          <w:color w:val="000000"/>
          <w:sz w:val="22"/>
        </w:rPr>
        <w:t xml:space="preserve">, and </w:t>
      </w:r>
      <w:hyperlink r:id="rId23">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4/4/86—published 4/23/86, effective 4/4/86]</w:t>
      </w:r>
    </w:p>
    <w:p>
      <w:pPr>
        <w:spacing w:before="0" w:after="0"/>
        <w:ind w:left="120"/>
        <w:jc w:val="center"/>
      </w:pPr>
      <w:r>
        <w:rPr>
          <w:rFonts w:ascii="Times New Roman" w:hAnsi="Times New Roman"/>
          <w:b w:val="false"/>
          <w:i w:val="false"/>
          <w:color w:val="000000"/>
          <w:sz w:val="21"/>
        </w:rPr>
        <w:t>[Filed 2/17/87, Notice 10/8/86—published 3/11/87, effective 4/15/87]</w:t>
      </w:r>
    </w:p>
    <w:p>
      <w:pPr>
        <w:spacing w:before="0" w:after="0"/>
        <w:ind w:left="120"/>
        <w:jc w:val="center"/>
      </w:pPr>
      <w:r>
        <w:rPr>
          <w:rFonts w:ascii="Times New Roman" w:hAnsi="Times New Roman"/>
          <w:b w:val="false"/>
          <w:i w:val="false"/>
          <w:color w:val="000000"/>
          <w:sz w:val="21"/>
        </w:rPr>
        <w:t>[Filed 4/29/88, Notice 3/23/88—published 5/18/88, effective 6/22/88]</w:t>
      </w:r>
    </w:p>
    <w:p>
      <w:pPr>
        <w:spacing w:before="0" w:after="0"/>
        <w:ind w:left="120"/>
        <w:jc w:val="center"/>
      </w:pPr>
      <w:r>
        <w:rPr>
          <w:rFonts w:ascii="Times New Roman" w:hAnsi="Times New Roman"/>
          <w:b w:val="false"/>
          <w:i w:val="false"/>
          <w:color w:val="000000"/>
          <w:sz w:val="21"/>
        </w:rPr>
        <w:t>[Filed 10/27/88, Notice 8/24/88—published 11/16/88, effective 12/21/88]</w:t>
      </w:r>
    </w:p>
    <w:p>
      <w:pPr>
        <w:spacing w:before="0" w:after="0"/>
        <w:ind w:left="120"/>
        <w:jc w:val="center"/>
      </w:pPr>
      <w:r>
        <w:rPr>
          <w:rFonts w:ascii="Times New Roman" w:hAnsi="Times New Roman"/>
          <w:b w:val="false"/>
          <w:i w:val="false"/>
          <w:color w:val="000000"/>
          <w:sz w:val="21"/>
        </w:rPr>
        <w:t>[Filed 9/29/89, Notice 7/26/89—published 10/18/89, effective 11/22/89]</w:t>
      </w:r>
    </w:p>
    <w:p>
      <w:pPr>
        <w:spacing w:before="0" w:after="0"/>
        <w:ind w:left="120"/>
        <w:jc w:val="center"/>
      </w:pPr>
      <w:r>
        <w:rPr>
          <w:rFonts w:ascii="Times New Roman" w:hAnsi="Times New Roman"/>
          <w:b w:val="false"/>
          <w:i w:val="false"/>
          <w:color w:val="000000"/>
          <w:sz w:val="21"/>
        </w:rPr>
        <w:t>[Filed 5/11/90, Notice 4/4/90—published 5/30/90, effective 7/4/90]</w:t>
      </w:r>
    </w:p>
    <w:p>
      <w:pPr>
        <w:spacing w:before="0" w:after="0"/>
        <w:ind w:left="120"/>
        <w:jc w:val="center"/>
      </w:pPr>
      <w:r>
        <w:rPr>
          <w:rFonts w:ascii="Times New Roman" w:hAnsi="Times New Roman"/>
          <w:b w:val="false"/>
          <w:i w:val="false"/>
          <w:color w:val="000000"/>
          <w:sz w:val="21"/>
        </w:rPr>
        <w:t>[Filed 10/11/91, Notice 8/21/91—published 10/30/91, effective 12/4/91]</w:t>
      </w:r>
    </w:p>
    <w:p>
      <w:pPr>
        <w:spacing w:before="0" w:after="0"/>
        <w:ind w:left="120"/>
        <w:jc w:val="center"/>
      </w:pPr>
      <w:r>
        <w:rPr>
          <w:rFonts w:ascii="Times New Roman" w:hAnsi="Times New Roman"/>
          <w:b w:val="false"/>
          <w:i w:val="false"/>
          <w:color w:val="000000"/>
          <w:sz w:val="21"/>
        </w:rPr>
        <w:t>[Filed 4/23/92, Notice 3/4/92—published 5/13/92, effective 6/17/92]</w:t>
      </w:r>
    </w:p>
    <w:p>
      <w:pPr>
        <w:spacing w:before="0" w:after="0"/>
        <w:ind w:left="120"/>
        <w:jc w:val="center"/>
      </w:pPr>
      <w:r>
        <w:rPr>
          <w:rFonts w:ascii="Times New Roman" w:hAnsi="Times New Roman"/>
          <w:b w:val="false"/>
          <w:i w:val="false"/>
          <w:color w:val="000000"/>
          <w:sz w:val="21"/>
        </w:rPr>
        <w:t>[Filed emergency 7/6/92—published 7/22/92, effective 7/6/92]</w:t>
      </w:r>
    </w:p>
    <w:p>
      <w:pPr>
        <w:spacing w:before="0" w:after="0"/>
        <w:ind w:left="120"/>
        <w:jc w:val="center"/>
      </w:pPr>
      <w:r>
        <w:rPr>
          <w:rFonts w:ascii="Times New Roman" w:hAnsi="Times New Roman"/>
          <w:b w:val="false"/>
          <w:i w:val="false"/>
          <w:color w:val="000000"/>
          <w:sz w:val="21"/>
        </w:rPr>
        <w:t>[Filed 4/7/95, Notice 1/4/95—published 4/26/95, effective 5/31/95]</w:t>
      </w:r>
    </w:p>
    <w:p>
      <w:pPr>
        <w:spacing w:before="0" w:after="0"/>
        <w:ind w:left="120"/>
        <w:jc w:val="center"/>
      </w:pPr>
      <w:r>
        <w:rPr>
          <w:rFonts w:ascii="Times New Roman" w:hAnsi="Times New Roman"/>
          <w:b w:val="false"/>
          <w:i w:val="false"/>
          <w:color w:val="000000"/>
          <w:sz w:val="21"/>
        </w:rPr>
        <w:t>[Filed 11/25/98, Notice 10/21/98—published 12/16/98, effective 1/20/99]</w:t>
      </w:r>
    </w:p>
    <w:p>
      <w:pPr>
        <w:spacing w:before="0" w:after="0"/>
        <w:ind w:left="120"/>
        <w:jc w:val="center"/>
      </w:pPr>
      <w:r>
        <w:rPr>
          <w:rFonts w:ascii="Times New Roman" w:hAnsi="Times New Roman"/>
          <w:b w:val="false"/>
          <w:i w:val="false"/>
          <w:color w:val="000000"/>
          <w:sz w:val="21"/>
        </w:rPr>
        <w:t>[Filed 6/11/99, Notice 4/7/99—published 6/30/99, effective 8/4/99]</w:t>
      </w:r>
    </w:p>
    <w:p>
      <w:pPr>
        <w:spacing w:before="0" w:after="0"/>
        <w:ind w:left="120"/>
        <w:jc w:val="center"/>
      </w:pPr>
      <w:r>
        <w:rPr>
          <w:rFonts w:ascii="Times New Roman" w:hAnsi="Times New Roman"/>
          <w:b w:val="false"/>
          <w:i w:val="false"/>
          <w:color w:val="000000"/>
          <w:sz w:val="21"/>
        </w:rPr>
        <w:t>[Filed 12/23/99, Notice 10/6/99—published 1/12/00, effective 2/16/00]</w:t>
      </w:r>
    </w:p>
    <w:p>
      <w:pPr>
        <w:spacing w:before="0" w:after="0"/>
        <w:ind w:left="120"/>
        <w:jc w:val="center"/>
      </w:pPr>
      <w:r>
        <w:rPr>
          <w:rFonts w:ascii="Times New Roman" w:hAnsi="Times New Roman"/>
          <w:b w:val="false"/>
          <w:i w:val="false"/>
          <w:color w:val="000000"/>
          <w:sz w:val="21"/>
        </w:rPr>
        <w:t>[Filed 10/13/00, Notice 8/23/00—published 11/1/00, effective 12/6/00]</w:t>
      </w:r>
    </w:p>
    <w:p>
      <w:pPr>
        <w:spacing w:before="0" w:after="0"/>
        <w:ind w:left="120"/>
        <w:jc w:val="center"/>
      </w:pPr>
      <w:r>
        <w:rPr>
          <w:rFonts w:ascii="Times New Roman" w:hAnsi="Times New Roman"/>
          <w:b w:val="false"/>
          <w:i w:val="false"/>
          <w:color w:val="000000"/>
          <w:sz w:val="21"/>
        </w:rPr>
        <w:t>[Filed 8/30/01, Notice 5/30/01—published 9/19/01, effective 10/24/01]</w:t>
      </w:r>
    </w:p>
    <w:p>
      <w:pPr>
        <w:spacing w:before="0" w:after="0"/>
        <w:ind w:left="120"/>
        <w:jc w:val="center"/>
      </w:pPr>
      <w:r>
        <w:rPr>
          <w:rFonts w:ascii="Times New Roman" w:hAnsi="Times New Roman"/>
          <w:b w:val="false"/>
          <w:i w:val="false"/>
          <w:color w:val="000000"/>
          <w:sz w:val="21"/>
        </w:rPr>
        <w:t>[Filed 6/7/02, Notice 4/3/02—published 6/26/02, effective 7/31/02]</w:t>
      </w:r>
    </w:p>
    <w:p>
      <w:pPr>
        <w:spacing w:before="0" w:after="0"/>
        <w:ind w:left="120"/>
        <w:jc w:val="center"/>
      </w:pPr>
      <w:r>
        <w:rPr>
          <w:rFonts w:ascii="Times New Roman" w:hAnsi="Times New Roman"/>
          <w:b w:val="false"/>
          <w:i w:val="false"/>
          <w:color w:val="000000"/>
          <w:sz w:val="21"/>
        </w:rPr>
        <w:t>[Filed 6/19/03, Notice 4/2/03—published 7/9/03, effective 8/13/03]</w:t>
      </w:r>
    </w:p>
    <w:p>
      <w:pPr>
        <w:spacing w:before="0" w:after="0"/>
        <w:ind w:left="120"/>
        <w:jc w:val="center"/>
      </w:pPr>
      <w:r>
        <w:rPr>
          <w:rFonts w:ascii="Times New Roman" w:hAnsi="Times New Roman"/>
          <w:b w:val="false"/>
          <w:i w:val="false"/>
          <w:color w:val="000000"/>
          <w:sz w:val="21"/>
        </w:rPr>
        <w:t>[Filed 6/17/04, Notice 3/31/04—published 7/7/04, effective 8/11/04]</w:t>
      </w:r>
    </w:p>
    <w:p>
      <w:pPr>
        <w:spacing w:before="0" w:after="0"/>
        <w:ind w:left="120"/>
        <w:jc w:val="center"/>
      </w:pPr>
      <w:r>
        <w:rPr>
          <w:rFonts w:ascii="Times New Roman" w:hAnsi="Times New Roman"/>
          <w:b w:val="false"/>
          <w:i w:val="false"/>
          <w:color w:val="000000"/>
          <w:sz w:val="21"/>
        </w:rPr>
        <w:t>[Filed 6/15/05, Notice 3/30/05—published 7/6/05, effective 8/10/05]</w:t>
      </w:r>
    </w:p>
    <w:p>
      <w:pPr>
        <w:spacing w:before="0" w:after="0"/>
        <w:ind w:left="120"/>
        <w:jc w:val="center"/>
      </w:pPr>
      <w:r>
        <w:rPr>
          <w:rFonts w:ascii="Times New Roman" w:hAnsi="Times New Roman"/>
          <w:b w:val="false"/>
          <w:i w:val="false"/>
          <w:color w:val="000000"/>
          <w:sz w:val="21"/>
        </w:rPr>
        <w:t>[Filed 12/2/05, Notice 10/12/05—published 1/4/06, effective 2/8/06]</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12/11/08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7/30/08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1/14/09</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2/18/09</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9606B</w:t>
      </w:r>
      <w:r>
        <w:rPr>
          <w:rFonts w:ascii="Times New Roman" w:hAnsi="Times New Roman"/>
          <w:b w:val="false"/>
          <w:i w:val="false"/>
          <w:color w:val="000000"/>
          <w:sz w:val="21"/>
        </w:rPr>
        <w:t xml:space="preserve"> (Notice ARC 9426B, IAB 3/9/11)</w:t>
      </w:r>
      <w:r>
        <w:rPr>
          <w:rFonts w:ascii="Times New Roman" w:hAnsi="Times New Roman"/>
          <w:b w:val="false"/>
          <w:i w:val="false"/>
          <w:color w:val="000000"/>
          <w:sz w:val="21"/>
        </w:rPr>
        <w:t>, IAB 7/13/11, effective 8/17/11]</w:t>
      </w:r>
    </w:p>
    <w:p>
      <w:pPr>
        <w:spacing w:before="0" w:after="0"/>
        <w:ind w:left="120"/>
        <w:jc w:val="center"/>
      </w:pPr>
      <w:r>
        <w:rPr>
          <w:rFonts w:ascii="Times New Roman" w:hAnsi="Times New Roman"/>
          <w:b w:val="false"/>
          <w:i w:val="false"/>
          <w:color w:val="000000"/>
          <w:sz w:val="21"/>
        </w:rPr>
        <w:t>[Filed ARC 1835C</w:t>
      </w:r>
      <w:r>
        <w:rPr>
          <w:rFonts w:ascii="Times New Roman" w:hAnsi="Times New Roman"/>
          <w:b w:val="false"/>
          <w:i w:val="false"/>
          <w:color w:val="000000"/>
          <w:sz w:val="21"/>
        </w:rPr>
        <w:t xml:space="preserve"> (Notice ARC 1728C, IAB 11/12/14)</w:t>
      </w:r>
      <w:r>
        <w:rPr>
          <w:rFonts w:ascii="Times New Roman" w:hAnsi="Times New Roman"/>
          <w:b w:val="false"/>
          <w:i w:val="false"/>
          <w:color w:val="000000"/>
          <w:sz w:val="21"/>
        </w:rPr>
        <w:t>, IAB 1/21/15, effective 2/25/15]</w:t>
      </w:r>
    </w:p>
    <w:p>
      <w:pPr>
        <w:spacing w:before="0" w:after="0"/>
        <w:ind w:left="120"/>
        <w:jc w:val="center"/>
      </w:pPr>
      <w:r>
        <w:rPr>
          <w:rFonts w:ascii="Times New Roman" w:hAnsi="Times New Roman"/>
          <w:b w:val="false"/>
          <w:i w:val="false"/>
          <w:color w:val="000000"/>
          <w:sz w:val="21"/>
        </w:rPr>
        <w:t>[Filed ARC 5068C</w:t>
      </w:r>
      <w:r>
        <w:rPr>
          <w:rFonts w:ascii="Times New Roman" w:hAnsi="Times New Roman"/>
          <w:b w:val="false"/>
          <w:i w:val="false"/>
          <w:color w:val="000000"/>
          <w:sz w:val="21"/>
        </w:rPr>
        <w:t xml:space="preserve"> (Notice ARC 4935C, IAB 2/26/20)</w:t>
      </w:r>
      <w:r>
        <w:rPr>
          <w:rFonts w:ascii="Times New Roman" w:hAnsi="Times New Roman"/>
          <w:b w:val="false"/>
          <w:i w:val="false"/>
          <w:color w:val="000000"/>
          <w:sz w:val="21"/>
        </w:rPr>
        <w:t>, IAB 7/1/20, effective 8/5/20]</w:t>
      </w:r>
    </w:p>
    <w:p>
      <w:pPr>
        <w:spacing w:before="0" w:after="0"/>
        <w:ind w:left="120"/>
        <w:jc w:val="center"/>
      </w:pPr>
      <w:r>
        <w:rPr>
          <w:rFonts w:ascii="Times New Roman" w:hAnsi="Times New Roman"/>
          <w:b w:val="false"/>
          <w:i w:val="false"/>
          <w:color w:val="000000"/>
          <w:sz w:val="21"/>
        </w:rPr>
        <w:t>[Filed ARC 5405C</w:t>
      </w:r>
      <w:r>
        <w:rPr>
          <w:rFonts w:ascii="Times New Roman" w:hAnsi="Times New Roman"/>
          <w:b w:val="false"/>
          <w:i w:val="false"/>
          <w:color w:val="000000"/>
          <w:sz w:val="21"/>
        </w:rPr>
        <w:t xml:space="preserve"> (Notice ARC 5156C, IAB 8/26/20)</w:t>
      </w:r>
      <w:r>
        <w:rPr>
          <w:rFonts w:ascii="Times New Roman" w:hAnsi="Times New Roman"/>
          <w:b w:val="false"/>
          <w:i w:val="false"/>
          <w:color w:val="000000"/>
          <w:sz w:val="21"/>
        </w:rPr>
        <w:t>, IAB 1/27/21, effective 3/3/21]</w:t>
      </w:r>
    </w:p>
    <w:p>
      <w:pPr>
        <w:spacing w:before="0" w:after="0"/>
        <w:ind w:left="120"/>
        <w:jc w:val="center"/>
      </w:pPr>
      <w:r>
        <w:rPr>
          <w:rFonts w:ascii="Times New Roman" w:hAnsi="Times New Roman"/>
          <w:b w:val="false"/>
          <w:i w:val="false"/>
          <w:color w:val="000000"/>
          <w:sz w:val="21"/>
        </w:rPr>
        <w:t>[Filed ARC 5774C</w:t>
      </w:r>
      <w:r>
        <w:rPr>
          <w:rFonts w:ascii="Times New Roman" w:hAnsi="Times New Roman"/>
          <w:b w:val="false"/>
          <w:i w:val="false"/>
          <w:color w:val="000000"/>
          <w:sz w:val="21"/>
        </w:rPr>
        <w:t xml:space="preserve"> (Notice ARC 5452C, IAB 2/24/21)</w:t>
      </w:r>
      <w:r>
        <w:rPr>
          <w:rFonts w:ascii="Times New Roman" w:hAnsi="Times New Roman"/>
          <w:b w:val="false"/>
          <w:i w:val="false"/>
          <w:color w:val="000000"/>
          <w:sz w:val="21"/>
        </w:rPr>
        <w:t>, IAB 7/14/21, effective 8/18/21]</w:t>
      </w:r>
    </w:p>
    <w:p>
      <w:pPr>
        <w:spacing w:before="0" w:after="0"/>
        <w:ind w:left="120"/>
        <w:jc w:val="center"/>
      </w:pPr>
      <w:r>
        <w:rPr>
          <w:rFonts w:ascii="Times New Roman" w:hAnsi="Times New Roman"/>
          <w:b w:val="false"/>
          <w:i w:val="false"/>
          <w:color w:val="000000"/>
          <w:sz w:val="21"/>
        </w:rPr>
        <w:t>[Filed ARC 7002C</w:t>
      </w:r>
      <w:r>
        <w:rPr>
          <w:rFonts w:ascii="Times New Roman" w:hAnsi="Times New Roman"/>
          <w:b w:val="false"/>
          <w:i w:val="false"/>
          <w:color w:val="000000"/>
          <w:sz w:val="21"/>
        </w:rPr>
        <w:t xml:space="preserve"> (Notice ARC 6655C, IAB 11/16/22)</w:t>
      </w:r>
      <w:r>
        <w:rPr>
          <w:rFonts w:ascii="Times New Roman" w:hAnsi="Times New Roman"/>
          <w:b w:val="false"/>
          <w:i w:val="false"/>
          <w:color w:val="000000"/>
          <w:sz w:val="21"/>
        </w:rPr>
        <w:t>, IAB 4/19/23, effective 5/24/23]</w:t>
      </w:r>
    </w:p>
    <w:p>
      <w:pPr>
        <w:spacing w:before="0" w:after="0"/>
        <w:ind w:left="120"/>
        <w:jc w:val="center"/>
      </w:pPr>
      <w:r>
        <w:rPr>
          <w:rFonts w:ascii="Times New Roman" w:hAnsi="Times New Roman"/>
          <w:b w:val="false"/>
          <w:i w:val="false"/>
          <w:color w:val="000000"/>
          <w:sz w:val="21"/>
        </w:rPr>
        <w:t>[Filed ARC 7925C</w:t>
      </w:r>
      <w:r>
        <w:rPr>
          <w:rFonts w:ascii="Times New Roman" w:hAnsi="Times New Roman"/>
          <w:b w:val="false"/>
          <w:i w:val="false"/>
          <w:color w:val="000000"/>
          <w:sz w:val="21"/>
        </w:rPr>
        <w:t xml:space="preserve"> (Notice ARC 7542C, IAB 1/24/24)</w:t>
      </w:r>
      <w:r>
        <w:rPr>
          <w:rFonts w:ascii="Times New Roman" w:hAnsi="Times New Roman"/>
          <w:b w:val="false"/>
          <w:i w:val="false"/>
          <w:color w:val="000000"/>
          <w:sz w:val="21"/>
        </w:rPr>
        <w:t>, IAB 5/1/24, effective 6/5/24]</w:t>
      </w:r>
    </w:p>
    <w:p>
      <w:pPr>
        <w:spacing w:before="0" w:after="0"/>
        <w:ind w:left="120"/>
        <w:jc w:val="center"/>
      </w:pPr>
      <w:r>
        <w:rPr>
          <w:rFonts w:ascii="Times New Roman" w:hAnsi="Times New Roman"/>
          <w:b w:val="false"/>
          <w:i w:val="false"/>
          <w:color w:val="000000"/>
          <w:sz w:val="21"/>
        </w:rPr>
        <w:t>[Editorial change: IAC Supplement 9/18/24]</w:t>
      </w:r>
    </w:p>
    <w:p>
      <w:pPr>
        <w:spacing w:before="0" w:after="0"/>
        <w:ind w:left="120"/>
        <w:jc w:val="center"/>
      </w:pPr>
      <w:r>
        <w:rPr>
          <w:rFonts w:ascii="Times New Roman" w:hAnsi="Times New Roman"/>
          <w:b w:val="false"/>
          <w:i w:val="false"/>
          <w:color w:val="000000"/>
          <w:sz w:val="21"/>
        </w:rPr>
        <w:t>[Editorial change: IAC Supplement 1/22/25]</w:t>
      </w:r>
    </w:p>
    <w:sectPr>
      <w:footerReference r:id="rId24"/>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481.921.8.pdf" Type="http://schemas.openxmlformats.org/officeDocument/2006/relationships/hyperlink" Id="rId5"/>
    <Relationship TargetMode="External" Target="https://www.legis.iowa.gov/docs/iac/rule/481.506.31.pdf" Type="http://schemas.openxmlformats.org/officeDocument/2006/relationships/hyperlink" Id="rId6"/>
    <Relationship TargetMode="External" Target="https://www.legis.iowa.gov/docs/iac/rule/481.507.6.pdf" Type="http://schemas.openxmlformats.org/officeDocument/2006/relationships/hyperlink" Id="rId7"/>
    <Relationship TargetMode="External" Target="https://www.legis.iowa.gov/docs/iac/rule/481.921.1.pdf" Type="http://schemas.openxmlformats.org/officeDocument/2006/relationships/hyperlink" Id="rId8"/>
    <Relationship TargetMode="External" Target="https://www.legis.iowa.gov/docs/iac/rule/481.921.4.pdf" Type="http://schemas.openxmlformats.org/officeDocument/2006/relationships/hyperlink" Id="rId9"/>
    <Relationship TargetMode="External" Target="https://www.legis.iowa.gov/docs/iac/rule/481.922.2.pdf" Type="http://schemas.openxmlformats.org/officeDocument/2006/relationships/hyperlink" Id="rId10"/>
    <Relationship TargetMode="External" Target="https://www.legis.iowa.gov/docs/ico/chapter/232.69.pdf" Type="http://schemas.openxmlformats.org/officeDocument/2006/relationships/hyperlink" Id="rId11"/>
    <Relationship TargetMode="External" Target="https://www.legis.iowa.gov/docs/iac/rule/481.500.14.pdf" Type="http://schemas.openxmlformats.org/officeDocument/2006/relationships/hyperlink" Id="rId12"/>
    <Relationship TargetMode="External" Target="https://www.legis.iowa.gov/docs/iac/rule/481.507.6.pdf" Type="http://schemas.openxmlformats.org/officeDocument/2006/relationships/hyperlink" Id="rId13"/>
    <Relationship TargetMode="External" Target="https://www.legis.iowa.gov/docs/ico/chapter/147.83.pdf" Type="http://schemas.openxmlformats.org/officeDocument/2006/relationships/hyperlink" Id="rId14"/>
    <Relationship TargetMode="External" Target="https://www.legis.iowa.gov/docs/ico/chapter/147.86.pdf" Type="http://schemas.openxmlformats.org/officeDocument/2006/relationships/hyperlink" Id="rId15"/>
    <Relationship TargetMode="External" Target="https://www.legis.iowa.gov/docs/iac/rule/481.921.8.pdf" Type="http://schemas.openxmlformats.org/officeDocument/2006/relationships/hyperlink" Id="rId16"/>
    <Relationship TargetMode="External" Target="https://www.legis.iowa.gov/docs/iac/chapter/481.507.pdf" Type="http://schemas.openxmlformats.org/officeDocument/2006/relationships/hyperlink" Id="rId17"/>
    <Relationship TargetMode="External" Target="https://www.legis.iowa.gov/docs/iac/rule/481.506.31.pdf" Type="http://schemas.openxmlformats.org/officeDocument/2006/relationships/hyperlink" Id="rId18"/>
    <Relationship TargetMode="External" Target="https://www.legis.iowa.gov/docs/iac/rule/481.921.8.pdf" Type="http://schemas.openxmlformats.org/officeDocument/2006/relationships/hyperlink" Id="rId19"/>
    <Relationship TargetMode="External" Target="https://www.legis.iowa.gov/docs/ico/chapter/17A.pdf" Type="http://schemas.openxmlformats.org/officeDocument/2006/relationships/hyperlink" Id="rId20"/>
    <Relationship TargetMode="External" Target="https://www.legis.iowa.gov/docs/ico/chapter/147.pdf" Type="http://schemas.openxmlformats.org/officeDocument/2006/relationships/hyperlink" Id="rId21"/>
    <Relationship TargetMode="External" Target="https://www.legis.iowa.gov/docs/ico/chapter/152A.pdf" Type="http://schemas.openxmlformats.org/officeDocument/2006/relationships/hyperlink" Id="rId22"/>
    <Relationship TargetMode="External" Target="https://www.legis.iowa.gov/docs/ico/chapter/272C.pdf" Type="http://schemas.openxmlformats.org/officeDocument/2006/relationships/hyperlink" Id="rId23"/>
    <Relationship Target="footer.xml" Type="http://schemas.openxmlformats.org/officeDocument/2006/relationships/footer" Id="rId2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