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905</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20"/>
        </w:rPr>
        <w:t>[Prior to 9/18/24, see Professional Licensure Division[645] Ch 105]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481—905.1</w:t>
      </w:r>
      <w:r>
        <w:rPr>
          <w:rFonts w:ascii="Times New Roman" w:hAnsi="Times New Roman"/>
          <w:b/>
          <w:i w:val="false"/>
          <w:color w:val="000000"/>
          <w:sz w:val="22"/>
        </w:rPr>
        <w:t xml:space="preserve">(156)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5">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In addition to the procedures set forth in Iowa Code section </w:t>
      </w:r>
      <w:hyperlink r:id="rId6">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this chapter will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481—905.2</w:t>
      </w:r>
      <w:r>
        <w:rPr>
          <w:rFonts w:ascii="Times New Roman" w:hAnsi="Times New Roman"/>
          <w:b/>
          <w:i w:val="false"/>
          <w:color w:val="000000"/>
          <w:sz w:val="22"/>
        </w:rPr>
        <w:t xml:space="preserve">(156) </w:t>
      </w:r>
      <w:r>
        <w:rPr>
          <w:rFonts w:ascii="Times New Roman" w:hAnsi="Times New Roman"/>
          <w:b/>
          <w:i w:val="false"/>
          <w:color w:val="000000"/>
          <w:sz w:val="22"/>
        </w:rPr>
        <w:t xml:space="preserve">Unlawful practices. </w:t>
      </w:r>
      <w:r>
        <w:rPr>
          <w:rFonts w:ascii="Times New Roman" w:hAnsi="Times New Roman"/>
          <w:b w:val="false"/>
          <w:i w:val="false"/>
          <w:color w:val="000000"/>
          <w:sz w:val="22"/>
        </w:rPr>
        <w:t>Practices by unlicensed persons or establishments that are subject to civil penalties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Acts or practices by unlicensed persons that require licensure as a funeral director under Iowa Code chapter </w:t>
      </w:r>
      <w:hyperlink r:id="rId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Acts or practices by unlicensed establishments that require licensure as a funeral establishment or cremation establishment under Iowa Code chapter </w:t>
      </w:r>
      <w:hyperlink r:id="rId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Use of the words “funeral director,” “mortician,” or other title in a manner that states or implies that the person is engaged in the practice of mortuary science as defined in Iowa Code chapter </w:t>
      </w:r>
      <w:hyperlink r:id="rId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or attempted use of a licensee’s certificate or an expired, suspended, revoked, or nonexistent certificate.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Falsely impersonating a licensed funeral director.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Providing false or forged evidence of any kind to the board in obtaining or attempting to obtain a license.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Other violations of Iowa Code chapter </w:t>
      </w:r>
      <w:hyperlink r:id="rId10">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Knowingly aiding or abetting an unlicensed person or establishment in any activity identified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481—905.3</w:t>
      </w:r>
      <w:r>
        <w:rPr>
          <w:rFonts w:ascii="Times New Roman" w:hAnsi="Times New Roman"/>
          <w:b/>
          <w:i w:val="false"/>
          <w:color w:val="000000"/>
          <w:sz w:val="22"/>
        </w:rPr>
        <w:t xml:space="preserve">(156)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board is authorized by Iowa Code sections </w:t>
      </w:r>
      <w:hyperlink r:id="rId11">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Such investigations will conform to the procedures outlined in this chapter. Complaint and investigatory files concerning nonlicensees are not confidential except as may be provided in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481—905.4</w:t>
      </w:r>
      <w:r>
        <w:rPr>
          <w:rFonts w:ascii="Times New Roman" w:hAnsi="Times New Roman"/>
          <w:b/>
          <w:i w:val="false"/>
          <w:color w:val="000000"/>
          <w:sz w:val="22"/>
        </w:rPr>
        <w:t xml:space="preserve">(156)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Pursuant to Iowa Code sections </w:t>
      </w:r>
      <w:hyperlink r:id="rId14">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 xml:space="preserve">, the board is authorized in connection with an investigation of an unlicensed person or establishment to issue subpoenas to compel persons to testify and to compel persons to produce books, papers, records and any other real evidence, whether or not privileged or confidential under law, that the board deems necessary as evidence in connection with the civil penalty proceeding or relevant to the decision of whether to initiate a civil penalty proceeding. Board procedures concerning investigative subpoenas are set forth in rule </w:t>
      </w:r>
      <w:hyperlink r:id="rId16">
        <w:r>
          <w:rPr>
            <w:rStyle w:val="Hyperlink"/>
            <w:rFonts w:ascii="Times New Roman" w:hAnsi="Times New Roman"/>
            <w:b w:val="false"/>
            <w:i w:val="false"/>
            <w:color w:val="000000"/>
            <w:sz w:val="22"/>
          </w:rPr>
          <w:t>481—503.5</w:t>
        </w:r>
      </w:hyperlink>
      <w:r>
        <w:rPr>
          <w:rFonts w:ascii="Times New Roman" w:hAnsi="Times New Roman"/>
          <w:b w:val="false"/>
          <w:i w:val="false"/>
          <w:color w:val="000000"/>
          <w:sz w:val="22"/>
        </w:rPr>
        <w:t>(17A,272C).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481—905.5</w:t>
      </w:r>
      <w:r>
        <w:rPr>
          <w:rFonts w:ascii="Times New Roman" w:hAnsi="Times New Roman"/>
          <w:b/>
          <w:i w:val="false"/>
          <w:color w:val="000000"/>
          <w:sz w:val="22"/>
        </w:rPr>
        <w:t xml:space="preserve">(156) </w:t>
      </w:r>
      <w:r>
        <w:rPr>
          <w:rFonts w:ascii="Times New Roman" w:hAnsi="Times New Roman"/>
          <w:b/>
          <w:i w:val="false"/>
          <w:color w:val="000000"/>
          <w:sz w:val="22"/>
        </w:rPr>
        <w:t xml:space="preserve">Notice of intent to impose civil penalties. </w:t>
      </w:r>
      <w:r>
        <w:rPr>
          <w:rFonts w:ascii="Times New Roman" w:hAnsi="Times New Roman"/>
          <w:b w:val="false"/>
          <w:i w:val="false"/>
          <w:color w:val="000000"/>
          <w:sz w:val="22"/>
        </w:rPr>
        <w:t xml:space="preserve">The notice of the board’s intent to issue an order to require compliance with Iowa Code chapter </w:t>
      </w:r>
      <w:hyperlink r:id="rId17">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to impose a civil penalty will be served upon the nonlicensee by restricted certified mail, return receipt requested, or personal service in accordance with Iowa 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and the nature of the intended order to require compliance with Iowa Code chapter </w:t>
      </w:r>
      <w:hyperlink r:id="rId1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nonlicensee’s right to a hearing and the time frame in which hearing must be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which written request for hearing must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481—905.6</w:t>
      </w:r>
      <w:r>
        <w:rPr>
          <w:rFonts w:ascii="Times New Roman" w:hAnsi="Times New Roman"/>
          <w:b/>
          <w:i w:val="false"/>
          <w:color w:val="000000"/>
          <w:sz w:val="22"/>
        </w:rPr>
        <w:t xml:space="preserve">(156) </w:t>
      </w:r>
      <w:r>
        <w:rPr>
          <w:rFonts w:ascii="Times New Roman" w:hAnsi="Times New Roman"/>
          <w:b/>
          <w:i w:val="false"/>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905.6(1)</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received if served through restricted certified mail, or within 30 days of the date of service if service is accepted or made in accordance with Iowa 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 1.305. A request for hearing must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board chairperson or the chairperson’s designee may issue an order imposing the civil penalty and requiring compliance with Iowa Code chapter </w:t>
      </w:r>
      <w:hyperlink r:id="rId19">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contested case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nonlicensed person who fails to timely request a contested case hearing will have failed to exhaust “adequate administrative remedies” as that term is used in Iowa Code section </w:t>
      </w:r>
      <w:hyperlink r:id="rId20">
        <w:r>
          <w:rPr>
            <w:rStyle w:val="Hyperlink"/>
            <w:rFonts w:ascii="Times New Roman" w:hAnsi="Times New Roman"/>
            <w:b w:val="false"/>
            <w:i w:val="false"/>
            <w:color w:val="000000"/>
            <w:sz w:val="22"/>
          </w:rPr>
          <w:t>17A.19(1)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905.6(5)</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nonlicensed person who is aggrieved or adversely affected by the board’s final decision following a contested case hearing may seek judicial review as provided in Iowa Code section </w:t>
      </w:r>
      <w:hyperlink r:id="rId2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905.6(6)</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and requiring compliance with Iowa Code chapter </w:t>
      </w:r>
      <w:hyperlink r:id="rId22">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905.6(7)</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2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Copies may be published as provided in rule </w:t>
      </w:r>
      <w:hyperlink r:id="rId24">
        <w:r>
          <w:rPr>
            <w:rStyle w:val="Hyperlink"/>
            <w:rFonts w:ascii="Times New Roman" w:hAnsi="Times New Roman"/>
            <w:b w:val="false"/>
            <w:i w:val="false"/>
            <w:color w:val="000000"/>
            <w:sz w:val="22"/>
          </w:rPr>
          <w:t>481—506.30</w:t>
        </w:r>
      </w:hyperlink>
      <w:r>
        <w:rPr>
          <w:rFonts w:ascii="Times New Roman" w:hAnsi="Times New Roman"/>
          <w:b w:val="false"/>
          <w:i w:val="false"/>
          <w:color w:val="000000"/>
          <w:sz w:val="22"/>
        </w:rPr>
        <w:t>(272C). Hearings will be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481—905.7</w:t>
      </w:r>
      <w:r>
        <w:rPr>
          <w:rFonts w:ascii="Times New Roman" w:hAnsi="Times New Roman"/>
          <w:b/>
          <w:i w:val="false"/>
          <w:color w:val="000000"/>
          <w:sz w:val="22"/>
        </w:rPr>
        <w:t xml:space="preserve">(156) </w:t>
      </w:r>
      <w:r>
        <w:rPr>
          <w:rFonts w:ascii="Times New Roman" w:hAnsi="Times New Roman"/>
          <w:b/>
          <w:i w:val="false"/>
          <w:color w:val="000000"/>
          <w:sz w:val="22"/>
        </w:rPr>
        <w:t xml:space="preserve">Factors to consider. </w:t>
      </w:r>
      <w:r>
        <w:rPr>
          <w:rFonts w:ascii="Times New Roman" w:hAnsi="Times New Roman"/>
          <w:b w:val="false"/>
          <w:i w:val="false"/>
          <w:color w:val="000000"/>
          <w:sz w:val="22"/>
        </w:rPr>
        <w:t>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time lapsed since the unlawful practice occurred.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Evidence of reform or remedial actions.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Whether the violation is a repeat offense following a prior warning letter or other notice of the nature of the infraction.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Whether the violation involved an element of deception.</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Whether the unlawful practice violated a prior order of the board, court order, cease and desist agreement, consent order, or similar document.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The clarity of the issue involved.</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Whether the nonlicensee acted in bad faith.</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Whether the nonlicensee cooperated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481—905.8</w:t>
      </w:r>
      <w:r>
        <w:rPr>
          <w:rFonts w:ascii="Times New Roman" w:hAnsi="Times New Roman"/>
          <w:b/>
          <w:i w:val="false"/>
          <w:color w:val="000000"/>
          <w:sz w:val="22"/>
        </w:rPr>
        <w:t xml:space="preserve">(156)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 xml:space="preserve">In addition, or as an alternative, to the administrative process described in these rules, the board may seek an injunction in district court, refer the matter for criminal prosecution, or enter into a consent agreement as provided in Iowa Code section </w:t>
      </w:r>
      <w:hyperlink r:id="rId25">
        <w:r>
          <w:rPr>
            <w:rStyle w:val="Hyperlink"/>
            <w:rFonts w:ascii="Times New Roman" w:hAnsi="Times New Roman"/>
            <w:b w:val="false"/>
            <w:i w:val="false"/>
            <w:color w:val="000000"/>
            <w:sz w:val="22"/>
          </w:rPr>
          <w:t>156.16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7816C</w:t>
      </w:r>
      <w:r>
        <w:rPr>
          <w:rFonts w:ascii="Times New Roman" w:hAnsi="Times New Roman"/>
          <w:b w:val="false"/>
          <w:i w:val="false"/>
          <w:color w:val="000000"/>
          <w:sz w:val="21"/>
        </w:rPr>
        <w:t xml:space="preserve"> (Notice ARC 7534C,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footerReference r:id="rId2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6.16.pdf" Type="http://schemas.openxmlformats.org/officeDocument/2006/relationships/hyperlink" Id="rId5"/>
    <Relationship TargetMode="External" Target="https://www.legis.iowa.gov/docs/ico/chapter/156.16.pdf" Type="http://schemas.openxmlformats.org/officeDocument/2006/relationships/hyperlink" Id="rId6"/>
    <Relationship TargetMode="External" Target="https://www.legis.iowa.gov/docs/ico/chapter/156.pdf" Type="http://schemas.openxmlformats.org/officeDocument/2006/relationships/hyperlink" Id="rId7"/>
    <Relationship TargetMode="External" Target="https://www.legis.iowa.gov/docs/ico/chapter/156.pdf" Type="http://schemas.openxmlformats.org/officeDocument/2006/relationships/hyperlink" Id="rId8"/>
    <Relationship TargetMode="External" Target="https://www.legis.iowa.gov/docs/ico/chapter/156.pdf" Type="http://schemas.openxmlformats.org/officeDocument/2006/relationships/hyperlink" Id="rId9"/>
    <Relationship TargetMode="External" Target="https://www.legis.iowa.gov/docs/ico/chapter/156.pdf" Type="http://schemas.openxmlformats.org/officeDocument/2006/relationships/hyperlink" Id="rId10"/>
    <Relationship TargetMode="External" Target="https://www.legis.iowa.gov/docs/ico/chapter/17A.13.pdf" Type="http://schemas.openxmlformats.org/officeDocument/2006/relationships/hyperlink" Id="rId11"/>
    <Relationship TargetMode="External" Target="https://www.legis.iowa.gov/docs/ico/chapter/156.16.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156.16.pdf" Type="http://schemas.openxmlformats.org/officeDocument/2006/relationships/hyperlink" Id="rId15"/>
    <Relationship TargetMode="External" Target="https://www.legis.iowa.gov/docs/iac/rule/481.503.5.pdf" Type="http://schemas.openxmlformats.org/officeDocument/2006/relationships/hyperlink" Id="rId16"/>
    <Relationship TargetMode="External" Target="https://www.legis.iowa.gov/docs/ico/chapter/156.pdf" Type="http://schemas.openxmlformats.org/officeDocument/2006/relationships/hyperlink" Id="rId17"/>
    <Relationship TargetMode="External" Target="https://www.legis.iowa.gov/docs/ico/chapter/156.pdf" Type="http://schemas.openxmlformats.org/officeDocument/2006/relationships/hyperlink" Id="rId18"/>
    <Relationship TargetMode="External" Target="https://www.legis.iowa.gov/docs/ico/chapter/156.pdf" Type="http://schemas.openxmlformats.org/officeDocument/2006/relationships/hyperlink" Id="rId19"/>
    <Relationship TargetMode="External" Target="https://www.legis.iowa.gov/docs/ico/chapter/17A.19.pdf" Type="http://schemas.openxmlformats.org/officeDocument/2006/relationships/hyperlink" Id="rId20"/>
    <Relationship TargetMode="External" Target="https://www.legis.iowa.gov/docs/ico/chapter/17A.19.pdf" Type="http://schemas.openxmlformats.org/officeDocument/2006/relationships/hyperlink" Id="rId21"/>
    <Relationship TargetMode="External" Target="https://www.legis.iowa.gov/docs/ico/chapter/156.pdf" Type="http://schemas.openxmlformats.org/officeDocument/2006/relationships/hyperlink" Id="rId22"/>
    <Relationship TargetMode="External" Target="https://www.legis.iowa.gov/docs/ico/chapter/22.pdf" Type="http://schemas.openxmlformats.org/officeDocument/2006/relationships/hyperlink" Id="rId23"/>
    <Relationship TargetMode="External" Target="https://www.legis.iowa.gov/docs/iac/rule/481.506.30.pdf" Type="http://schemas.openxmlformats.org/officeDocument/2006/relationships/hyperlink" Id="rId24"/>
    <Relationship TargetMode="External" Target="https://www.legis.iowa.gov/docs/ico/chapter/156.16.pdf" Type="http://schemas.openxmlformats.org/officeDocument/2006/relationships/hyperlink" Id="rId25"/>
    <Relationship TargetMode="External" Target="https://www.legis.iowa.gov/docs/ico/chapter/17A.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156.pdf" Type="http://schemas.openxmlformats.org/officeDocument/2006/relationships/hyperlink" Id="rId28"/>
    <Relationship Target="footer.xml" Type="http://schemas.openxmlformats.org/officeDocument/2006/relationships/footer"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