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902</w:t>
      </w:r>
    </w:p>
    <w:p>
      <w:pPr>
        <w:spacing w:before="0" w:after="0"/>
        <w:ind w:left="120"/>
        <w:jc w:val="center"/>
      </w:pPr>
      <w:r>
        <w:rPr>
          <w:rFonts w:ascii="Times New Roman" w:hAnsi="Times New Roman"/>
          <w:b w:val="false"/>
          <w:i w:val="false"/>
          <w:color w:val="000000"/>
          <w:sz w:val="21"/>
        </w:rPr>
        <w:t>CONTINUING EDUCATION FOR FUNERAL DIRECTORS</w:t>
      </w:r>
    </w:p>
    <w:p>
      <w:pPr>
        <w:spacing w:before="0" w:after="0"/>
        <w:ind w:left="120"/>
        <w:jc w:val="center"/>
      </w:pPr>
      <w:r>
        <w:rPr>
          <w:rFonts w:ascii="Times New Roman" w:hAnsi="Times New Roman"/>
          <w:b w:val="false"/>
          <w:i w:val="false"/>
          <w:color w:val="000000"/>
          <w:sz w:val="20"/>
        </w:rPr>
        <w:t>[Prior to 9/18/24, see Professional Licensure Division[645] Ch 102]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481—902.1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that are designed to maintain, improve, or expand a licensee’s knowledge and skills in order for the licensee to develop new knowledge and skills relevant to the enhancement of practice, education, or theory development to improve the safety and welfare of the public and that meet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 subject/program/activity that a person pursues autonomously that meets standards for approval criteria in these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funeral director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the fifteenth day of the licensee’s birth month and ending on the fifteenth day of the licensee’s birth month. Each biennium, a person who holds an active license will be required to complete a minimum of 24 hours of continuing education activity. Two of the 24 hours of continuing education will be in current Iowa law and rules covering mortuary science content areas, including but not limited to Iowa law and rules governing the practice of mortuary science, cremation, vital statistics, cemeteries and preneed. A minimum of 12 hours of the 24 hours of continuing education required for renewal will be earned by completing a program in which an instructor conducts the class employing either in-person or live, real-time interactive media.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Continuing education is not required in the first renewal period. Continuing education hours acquired any time from the initial licensing until the second license renewal may be used. The new licensee will be required to complete a minimum of 24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as stipulated in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902.2(4)</w:t>
      </w:r>
      <w:r>
        <w:rPr>
          <w:rFonts w:ascii="Times New Roman" w:hAnsi="Times New Roman"/>
          <w:b w:val="false"/>
          <w:i w:val="false"/>
          <w:color w:val="000000"/>
          <w:sz w:val="22"/>
        </w:rPr>
        <w:t> </w:t>
      </w:r>
      <w:r>
        <w:rPr>
          <w:rFonts w:ascii="Times New Roman" w:hAnsi="Times New Roman"/>
          <w:b w:val="false"/>
          <w:i w:val="false"/>
          <w:color w:val="000000"/>
          <w:sz w:val="22"/>
        </w:rPr>
        <w:t>Up to 50 percent of continuing education (a maximum of 12 hours) can be carried over into the next biennium if there was an amount of continuing education completed during the prior period that exceeded the minimum requirement.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9068C</w:t>
      </w:r>
      <w:r>
        <w:rPr>
          <w:rFonts w:ascii="Times New Roman" w:hAnsi="Times New Roman"/>
          <w:b w:val="false"/>
          <w:i w:val="false"/>
          <w:color w:val="000000"/>
          <w:sz w:val="16"/>
        </w:rPr>
        <w:t>, IAB 4/2/25,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481—902.3</w:t>
      </w:r>
      <w:r>
        <w:rPr>
          <w:rFonts w:ascii="Times New Roman" w:hAnsi="Times New Roman"/>
          <w:b/>
          <w:i w:val="false"/>
          <w:color w:val="000000"/>
          <w:sz w:val="22"/>
        </w:rPr>
        <w:t xml:space="preserve">(156,272C)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conducted by individuals who have specialized education, training and experience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xml:space="preserve">All licensees must retain the information identified in paragraph </w:t>
      </w:r>
      <w:r>
        <w:rPr>
          <w:rFonts w:ascii="Times New Roman" w:hAnsi="Times New Roman"/>
          <w:b w:val="false"/>
          <w:i w:val="false"/>
          <w:color w:val="000000"/>
          <w:sz w:val="22"/>
        </w:rPr>
        <w:t>902.3(1)</w:t>
      </w:r>
      <w:r>
        <w:rPr>
          <w:rFonts w:ascii="Times New Roman" w:hAnsi="Times New Roman"/>
          <w:b w:val="false"/>
          <w:i/>
          <w:color w:val="000000"/>
          <w:sz w:val="22"/>
        </w:rPr>
        <w:t>“e”</w:t>
      </w:r>
      <w:r>
        <w:rPr>
          <w:rFonts w:ascii="Times New Roman" w:hAnsi="Times New Roman"/>
          <w:b w:val="false"/>
          <w:i w:val="false"/>
          <w:color w:val="000000"/>
          <w:sz w:val="22"/>
        </w:rPr>
        <w:t xml:space="preserve"> for two years after the biennium has 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categories of continuing education are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 health and technical: chemistry, microbiology and public health, anatomy, pathology, restorative art, arterial and cavity embalming.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management: accounting, funeral home and crematory management and merchandising, computer application, funeral directing, and small business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sciences/humanities: psychology of grief, counseling, sociology of funeral service, history of funeral service, communication skills, and philosophy.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Legal, ethical, regulatory: mortuary law; business law; ethics; Federal Trade Commission, OSHA, ADA, and EPA regulations; preneed regulation; social services; veterans affairs benefits; insurance; state and county benefits; legislative concerns. Insurance will be related to life insurance and will not exceed 8 hours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coursework that meets the criteria set forth in the rule is accepted. Continuing education credit equivalents are as follows:</w:t>
      </w:r>
    </w:p>
    <w:p>
      <w:pPr>
        <w:spacing w:before="0" w:after="0"/>
        <w:ind w:left="120"/>
        <w:jc w:val="both"/>
      </w:pPr>
      <w:r>
        <w:rPr>
          <w:rFonts w:ascii="Times New Roman" w:hAnsi="Times New Roman"/>
          <w:b w:val="false"/>
          <w:i w:val="false"/>
          <w:color w:val="000000"/>
          <w:sz w:val="22"/>
        </w:rPr>
        <w:t>1 academic semester hour = 10 continuing education hours</w:t>
      </w:r>
    </w:p>
    <w:p>
      <w:pPr>
        <w:spacing w:before="0" w:after="0"/>
        <w:ind w:left="120"/>
        <w:jc w:val="both"/>
      </w:pPr>
      <w:r>
        <w:rPr>
          <w:rFonts w:ascii="Times New Roman" w:hAnsi="Times New Roman"/>
          <w:b w:val="false"/>
          <w:i w:val="false"/>
          <w:color w:val="000000"/>
          <w:sz w:val="22"/>
        </w:rPr>
        <w:t>1 academic trimester hour = 8 continuing education hours</w:t>
      </w:r>
    </w:p>
    <w:p>
      <w:pPr>
        <w:spacing w:before="0" w:after="0"/>
        <w:ind w:left="120"/>
        <w:jc w:val="both"/>
      </w:pPr>
      <w:r>
        <w:rPr>
          <w:rFonts w:ascii="Times New Roman" w:hAnsi="Times New Roman"/>
          <w:b w:val="false"/>
          <w:i w:val="false"/>
          <w:color w:val="000000"/>
          <w:sz w:val="22"/>
        </w:rPr>
        <w:t>1 academic quarter hour = 7 continuing education hours</w:t>
      </w:r>
    </w:p>
    <w:p>
      <w:pPr>
        <w:spacing w:before="0" w:after="0"/>
        <w:ind w:left="120"/>
        <w:jc w:val="both"/>
      </w:pPr>
      <w:r>
        <w:rPr>
          <w:rFonts w:ascii="Times New Roman" w:hAnsi="Times New Roman"/>
          <w:b w:val="false"/>
          <w:i w:val="false"/>
          <w:color w:val="000000"/>
          <w:sz w:val="22"/>
        </w:rPr>
        <w:t>A course description and an official school transcript indicating successful completion of the course must be provided by the licensee to receive credit for an academic course if continuing education is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Attendance at or participation in a program or course that is offered or sponsored by a state or national funeral association that meets the criteria in subrule </w:t>
      </w:r>
      <w:r>
        <w:rPr>
          <w:rFonts w:ascii="Times New Roman" w:hAnsi="Times New Roman"/>
          <w:b w:val="false"/>
          <w:i w:val="false"/>
          <w:color w:val="000000"/>
          <w:sz w:val="22"/>
        </w:rPr>
        <w:t>902.3(1)</w:t>
      </w:r>
      <w:r>
        <w:rPr>
          <w:rFonts w:ascii="Times New Roman" w:hAnsi="Times New Roman"/>
          <w:b w:val="false"/>
          <w:i w:val="false"/>
          <w:color w:val="000000"/>
          <w:sz w:val="22"/>
        </w:rPr>
        <w:t xml:space="preserve"> and paragraph </w:t>
      </w:r>
      <w:r>
        <w:rPr>
          <w:rFonts w:ascii="Times New Roman" w:hAnsi="Times New Roman"/>
          <w:b w:val="false"/>
          <w:i w:val="false"/>
          <w:color w:val="000000"/>
          <w:sz w:val="22"/>
        </w:rPr>
        <w:t>902.3(2)</w:t>
      </w:r>
      <w:r>
        <w:rPr>
          <w:rFonts w:ascii="Times New Roman" w:hAnsi="Times New Roman"/>
          <w:b w:val="false"/>
          <w:i/>
          <w:color w:val="000000"/>
          <w:sz w:val="22"/>
        </w:rPr>
        <w:t>“a”</w:t>
      </w:r>
      <w:r>
        <w:rPr>
          <w:rFonts w:ascii="Times New Roman" w:hAnsi="Times New Roman"/>
          <w:b w:val="false"/>
          <w:i w:val="false"/>
          <w:color w:val="000000"/>
          <w:sz w:val="22"/>
        </w:rPr>
        <w:t xml:space="preserve"> is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study credits, including those obtained by television viewing, Internet, video- or sound-recorded programs, or correspondence work or by other similar means that meet the criteria in paragraph </w:t>
      </w:r>
      <w:r>
        <w:rPr>
          <w:rFonts w:ascii="Times New Roman" w:hAnsi="Times New Roman"/>
          <w:b w:val="false"/>
          <w:i w:val="false"/>
          <w:color w:val="000000"/>
          <w:sz w:val="22"/>
        </w:rPr>
        <w:t>902.3(2)</w:t>
      </w:r>
      <w:r>
        <w:rPr>
          <w:rFonts w:ascii="Times New Roman" w:hAnsi="Times New Roman"/>
          <w:b w:val="false"/>
          <w:i/>
          <w:color w:val="000000"/>
          <w:sz w:val="22"/>
        </w:rPr>
        <w:t>“a,”</w:t>
      </w:r>
      <w:r>
        <w:rPr>
          <w:rFonts w:ascii="Times New Roman" w:hAnsi="Times New Roman"/>
          <w:b w:val="false"/>
          <w:i w:val="false"/>
          <w:color w:val="000000"/>
          <w:sz w:val="22"/>
        </w:rPr>
        <w:t xml:space="preserve"> must be accompanied by a certificate from the sponsoring organization that indicates successful completion of the test. Continuing education credit obtained by independent study will not exceed 12 hours of the 24 hours required during the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Presentations of a structured continuing education program or a college course that meets the criteria established in standards for approval may receive 1.5 times the number of hours granted the attendees. These hours will be granted only once per biennium for identical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Two of the 24 hours of continuing education will be in current Iowa law and rules covering mortuary science content areas including but not limited to Iowa law and rules governing the practice of mortuary science, cremation, vital statistics, cemeteries and preneed.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481—902.4</w:t>
      </w:r>
      <w:r>
        <w:rPr>
          <w:rFonts w:ascii="Times New Roman" w:hAnsi="Times New Roman"/>
          <w:b/>
          <w:i w:val="false"/>
          <w:color w:val="000000"/>
          <w:sz w:val="22"/>
        </w:rPr>
        <w:t xml:space="preserve">(272C) </w:t>
      </w:r>
      <w:r>
        <w:rPr>
          <w:rFonts w:ascii="Times New Roman" w:hAnsi="Times New Roman"/>
          <w:b/>
          <w:i w:val="false"/>
          <w:color w:val="000000"/>
          <w:sz w:val="22"/>
        </w:rPr>
        <w:t xml:space="preserve">Automatic exemption. </w:t>
      </w:r>
      <w:r>
        <w:rPr>
          <w:rFonts w:ascii="Times New Roman" w:hAnsi="Times New Roman"/>
          <w:b w:val="false"/>
          <w:i w:val="false"/>
          <w:color w:val="000000"/>
          <w:sz w:val="22"/>
        </w:rPr>
        <w:t xml:space="preserve">A licensee will be exempt from the continuing education requirement during the license biennium when that person: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Served honorably on active duty in the military service;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Was a government employee working in the licensee’s specialty and assigned to duty outside the United States;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 absent from the state but engaged in active practice under circumstances that are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6/19/02, Notice 1/9/02—published 7/10/02, effective 8/14/02]</w:t>
      </w:r>
    </w:p>
    <w:p>
      <w:pPr>
        <w:spacing w:before="0" w:after="0"/>
        <w:ind w:left="120"/>
        <w:jc w:val="center"/>
      </w:pPr>
      <w:r>
        <w:rPr>
          <w:rFonts w:ascii="Times New Roman" w:hAnsi="Times New Roman"/>
          <w:b w:val="false"/>
          <w:i w:val="false"/>
          <w:color w:val="000000"/>
          <w:sz w:val="21"/>
        </w:rPr>
        <w:t>[Filed 6/15/05, Notice 4/13/05—published 7/6/05, effective 8/10/05]</w:t>
      </w:r>
    </w:p>
    <w:p>
      <w:pPr>
        <w:spacing w:before="0" w:after="0"/>
        <w:ind w:left="120"/>
        <w:jc w:val="center"/>
      </w:pPr>
      <w:r>
        <w:rPr>
          <w:rFonts w:ascii="Times New Roman" w:hAnsi="Times New Roman"/>
          <w:b w:val="false"/>
          <w:i w:val="false"/>
          <w:color w:val="000000"/>
          <w:sz w:val="21"/>
        </w:rPr>
        <w:t>[Filed 6/9/06, Notice 4/12/06—published 7/5/06, effective 8/9/06]</w:t>
      </w:r>
    </w:p>
    <w:p>
      <w:pPr>
        <w:spacing w:before="0" w:after="0"/>
        <w:ind w:left="120"/>
        <w:jc w:val="center"/>
      </w:pPr>
      <w:r>
        <w:rPr>
          <w:rFonts w:ascii="Times New Roman" w:hAnsi="Times New Roman"/>
          <w:b w:val="false"/>
          <w:i w:val="false"/>
          <w:color w:val="000000"/>
          <w:sz w:val="21"/>
        </w:rPr>
        <w:t>[Filed 3/21/08, Notice 1/16/08—published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7814C</w:t>
      </w:r>
      <w:r>
        <w:rPr>
          <w:rFonts w:ascii="Times New Roman" w:hAnsi="Times New Roman"/>
          <w:b w:val="false"/>
          <w:i w:val="false"/>
          <w:color w:val="000000"/>
          <w:sz w:val="21"/>
        </w:rPr>
        <w:t xml:space="preserve"> (Notice ARC 7533C,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9068C</w:t>
      </w:r>
      <w:r>
        <w:rPr>
          <w:rFonts w:ascii="Times New Roman" w:hAnsi="Times New Roman"/>
          <w:b w:val="false"/>
          <w:i w:val="false"/>
          <w:color w:val="000000"/>
          <w:sz w:val="21"/>
        </w:rPr>
        <w:t xml:space="preserve"> (Notice ARC 8775C, IAB 1/8/25)</w:t>
      </w:r>
      <w:r>
        <w:rPr>
          <w:rFonts w:ascii="Times New Roman" w:hAnsi="Times New Roman"/>
          <w:b w:val="false"/>
          <w:i w:val="false"/>
          <w:color w:val="000000"/>
          <w:sz w:val="21"/>
        </w:rPr>
        <w:t>, IAB 4/2/25, effective 5/21/25]</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15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