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BOARD OF MORTUARY SCIENCE</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900</w:t>
      </w:r>
    </w:p>
    <w:p>
      <w:pPr>
        <w:spacing w:before="0" w:after="0"/>
        <w:ind w:left="120"/>
        <w:jc w:val="center"/>
      </w:pPr>
      <w:r>
        <w:rPr>
          <w:rFonts w:ascii="Times New Roman" w:hAnsi="Times New Roman"/>
          <w:b w:val="false"/>
          <w:i w:val="false"/>
          <w:color w:val="000000"/>
          <w:sz w:val="21"/>
        </w:rPr>
        <w:t>PRACTICE OF FUNERAL DIRECTORS, FUNERAL ESTABLISHMENTS,</w:t>
      </w:r>
      <w:r>
        <w:br/>
      </w:r>
      <w:r>
        <w:rPr>
          <w:rFonts w:ascii="Times New Roman" w:hAnsi="Times New Roman"/>
          <w:b w:val="false"/>
          <w:i w:val="false"/>
          <w:color w:val="000000"/>
          <w:sz w:val="21"/>
        </w:rPr>
        <w:t>AND CREMATION ESTABLISHMENTS</w:t>
      </w:r>
    </w:p>
    <w:p>
      <w:pPr>
        <w:spacing w:before="0" w:after="0"/>
        <w:ind w:left="120"/>
        <w:jc w:val="center"/>
      </w:pPr>
      <w:r>
        <w:rPr>
          <w:rFonts w:ascii="Times New Roman" w:hAnsi="Times New Roman"/>
          <w:b w:val="false"/>
          <w:i w:val="false"/>
          <w:color w:val="000000"/>
          <w:sz w:val="20"/>
        </w:rPr>
        <w:t>[Prior to 9/21/88, see Health Department[470] Ch 146]</w:t>
      </w:r>
    </w:p>
    <w:p>
      <w:pPr>
        <w:spacing w:before="0" w:after="0"/>
        <w:ind w:left="120"/>
        <w:jc w:val="center"/>
      </w:pPr>
      <w:r>
        <w:rPr>
          <w:rFonts w:ascii="Times New Roman" w:hAnsi="Times New Roman"/>
          <w:b w:val="false"/>
          <w:i w:val="false"/>
          <w:color w:val="000000"/>
          <w:sz w:val="20"/>
        </w:rPr>
        <w:t>[Prior to 9/18/24, see Professional Licensure Division[645] Ch 100]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5/22/29</w:t>
      </w:r>
    </w:p>
    <w:p>
      <w:pPr>
        <w:spacing w:before="0" w:after="0"/>
        <w:ind w:left="120"/>
        <w:jc w:val="both"/>
      </w:pPr>
      <w:r>
        <w:rPr>
          <w:rFonts w:ascii="Times New Roman" w:hAnsi="Times New Roman"/>
          <w:b/>
          <w:i w:val="false"/>
          <w:color w:val="000000"/>
          <w:sz w:val="22"/>
        </w:rPr>
        <w:t>481—900.1</w:t>
      </w:r>
      <w:r>
        <w:rPr>
          <w:rFonts w:ascii="Times New Roman" w:hAnsi="Times New Roman"/>
          <w:b/>
          <w:i w:val="false"/>
          <w:color w:val="000000"/>
          <w:sz w:val="22"/>
        </w:rPr>
        <w:t xml:space="preserve">(156)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“Alternative container”</w:t>
      </w:r>
      <w:r>
        <w:rPr>
          <w:rFonts w:ascii="Times New Roman" w:hAnsi="Times New Roman"/>
          <w:b w:val="false"/>
          <w:i w:val="false"/>
          <w:color w:val="000000"/>
          <w:sz w:val="22"/>
        </w:rPr>
        <w:t> </w:t>
      </w:r>
      <w:r>
        <w:rPr>
          <w:rFonts w:ascii="Times New Roman" w:hAnsi="Times New Roman"/>
          <w:b w:val="false"/>
          <w:i w:val="false"/>
          <w:color w:val="000000"/>
          <w:sz w:val="22"/>
        </w:rPr>
        <w:t>means an unfinished wood box or other nonmetal receptacle or enclosure, without ornamentation or a fixed interior lining, that is designed for the encasement of human remains and that is made of fiberboard, pressed wood, composition materials (with or without an outside covering) or like materials that prevents the leakage of body fluid.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“Authorized person”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that person or persons upon whom a funeral director may reasonably rely when making funeral arrangements, including but not limited to embalming, cremation, funeral services, and the disposition of human remains pursuant to Iowa Code section </w:t>
      </w:r>
      <w:hyperlink r:id="rId5">
        <w:r>
          <w:rPr>
            <w:rStyle w:val="Hyperlink"/>
            <w:rFonts w:ascii="Times New Roman" w:hAnsi="Times New Roman"/>
            <w:b w:val="false"/>
            <w:i w:val="false"/>
            <w:color w:val="000000"/>
            <w:sz w:val="22"/>
          </w:rPr>
          <w:t>144C.5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“Autopsy”</w:t>
      </w:r>
      <w:r>
        <w:rPr>
          <w:rFonts w:ascii="Times New Roman" w:hAnsi="Times New Roman"/>
          <w:b w:val="false"/>
          <w:i w:val="false"/>
          <w:color w:val="000000"/>
          <w:sz w:val="22"/>
        </w:rPr>
        <w:t> </w:t>
      </w:r>
      <w:r>
        <w:rPr>
          <w:rFonts w:ascii="Times New Roman" w:hAnsi="Times New Roman"/>
          <w:b w:val="false"/>
          <w:i w:val="false"/>
          <w:color w:val="000000"/>
          <w:sz w:val="22"/>
        </w:rPr>
        <w:t>means the postmortem examination of a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“Board”</w:t>
      </w:r>
      <w:r>
        <w:rPr>
          <w:rFonts w:ascii="Times New Roman" w:hAnsi="Times New Roman"/>
          <w:b w:val="false"/>
          <w:i w:val="false"/>
          <w:color w:val="000000"/>
          <w:sz w:val="22"/>
        </w:rPr>
        <w:t> </w:t>
      </w:r>
      <w:r>
        <w:rPr>
          <w:rFonts w:ascii="Times New Roman" w:hAnsi="Times New Roman"/>
          <w:b w:val="false"/>
          <w:i w:val="false"/>
          <w:color w:val="000000"/>
          <w:sz w:val="22"/>
        </w:rPr>
        <w:t>means the board of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“Body parts”</w:t>
      </w:r>
      <w:r>
        <w:rPr>
          <w:rFonts w:ascii="Times New Roman" w:hAnsi="Times New Roman"/>
          <w:b w:val="false"/>
          <w:i w:val="false"/>
          <w:color w:val="000000"/>
          <w:sz w:val="22"/>
        </w:rPr>
        <w:t> </w:t>
      </w:r>
      <w:r>
        <w:rPr>
          <w:rFonts w:ascii="Times New Roman" w:hAnsi="Times New Roman"/>
          <w:b w:val="false"/>
          <w:i w:val="false"/>
          <w:color w:val="000000"/>
          <w:sz w:val="22"/>
        </w:rPr>
        <w:t>means appendages or other portions of the anatomy that are from a human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“Burial.”</w:t>
      </w:r>
      <w:r>
        <w:rPr>
          <w:rFonts w:ascii="Times New Roman" w:hAnsi="Times New Roman"/>
          <w:b w:val="false"/>
          <w:i w:val="false"/>
          <w:color w:val="000000"/>
          <w:sz w:val="22"/>
        </w:rPr>
        <w:t> </w:t>
      </w:r>
      <w:r>
        <w:rPr>
          <w:rFonts w:ascii="Times New Roman" w:hAnsi="Times New Roman"/>
          <w:b w:val="false"/>
          <w:i w:val="false"/>
          <w:color w:val="000000"/>
          <w:sz w:val="22"/>
        </w:rPr>
        <w:t xml:space="preserve">See </w:t>
      </w:r>
      <w:r>
        <w:rPr>
          <w:rFonts w:ascii="Times New Roman" w:hAnsi="Times New Roman"/>
          <w:b w:val="false"/>
          <w:i/>
          <w:color w:val="000000"/>
          <w:sz w:val="22"/>
        </w:rPr>
        <w:t>“Interment.”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“Burial transit permit”</w:t>
      </w:r>
      <w:r>
        <w:rPr>
          <w:rFonts w:ascii="Times New Roman" w:hAnsi="Times New Roman"/>
          <w:b w:val="false"/>
          <w:i w:val="false"/>
          <w:color w:val="000000"/>
          <w:sz w:val="22"/>
        </w:rPr>
        <w:t> </w:t>
      </w:r>
      <w:r>
        <w:rPr>
          <w:rFonts w:ascii="Times New Roman" w:hAnsi="Times New Roman"/>
          <w:b w:val="false"/>
          <w:i w:val="false"/>
          <w:color w:val="000000"/>
          <w:sz w:val="22"/>
        </w:rPr>
        <w:t>means a legal document authorizing the removal and transportation of a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“Casket”</w:t>
      </w:r>
      <w:r>
        <w:rPr>
          <w:rFonts w:ascii="Times New Roman" w:hAnsi="Times New Roman"/>
          <w:b w:val="false"/>
          <w:i w:val="false"/>
          <w:color w:val="000000"/>
          <w:sz w:val="22"/>
        </w:rPr>
        <w:t> </w:t>
      </w:r>
      <w:r>
        <w:rPr>
          <w:rFonts w:ascii="Times New Roman" w:hAnsi="Times New Roman"/>
          <w:b w:val="false"/>
          <w:i w:val="false"/>
          <w:color w:val="000000"/>
          <w:sz w:val="22"/>
        </w:rPr>
        <w:t>means a rigid container that is designed for the encasement of human remains and that is usually constructed of wood, metal, fiberglass, plastic or like material and ornamented and lined with fabric.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“Cemetery”</w:t>
      </w:r>
      <w:r>
        <w:rPr>
          <w:rFonts w:ascii="Times New Roman" w:hAnsi="Times New Roman"/>
          <w:b w:val="false"/>
          <w:i w:val="false"/>
          <w:color w:val="000000"/>
          <w:sz w:val="22"/>
        </w:rPr>
        <w:t> </w:t>
      </w:r>
      <w:r>
        <w:rPr>
          <w:rFonts w:ascii="Times New Roman" w:hAnsi="Times New Roman"/>
          <w:b w:val="false"/>
          <w:i w:val="false"/>
          <w:color w:val="000000"/>
          <w:sz w:val="22"/>
        </w:rPr>
        <w:t>means an area designated for the final disposition of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“Columbarium”</w:t>
      </w:r>
      <w:r>
        <w:rPr>
          <w:rFonts w:ascii="Times New Roman" w:hAnsi="Times New Roman"/>
          <w:b w:val="false"/>
          <w:i w:val="false"/>
          <w:color w:val="000000"/>
          <w:sz w:val="22"/>
        </w:rPr>
        <w:t> </w:t>
      </w:r>
      <w:r>
        <w:rPr>
          <w:rFonts w:ascii="Times New Roman" w:hAnsi="Times New Roman"/>
          <w:b w:val="false"/>
          <w:i w:val="false"/>
          <w:color w:val="000000"/>
          <w:sz w:val="22"/>
        </w:rPr>
        <w:t>means a structure, room or space in a mausoleum or other building containing niches or recesses for disposition of cremated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“Cremated remains”</w:t>
      </w:r>
      <w:r>
        <w:rPr>
          <w:rFonts w:ascii="Times New Roman" w:hAnsi="Times New Roman"/>
          <w:b w:val="false"/>
          <w:i w:val="false"/>
          <w:color w:val="000000"/>
          <w:sz w:val="22"/>
        </w:rPr>
        <w:t> </w:t>
      </w:r>
      <w:r>
        <w:rPr>
          <w:rFonts w:ascii="Times New Roman" w:hAnsi="Times New Roman"/>
          <w:b w:val="false"/>
          <w:i w:val="false"/>
          <w:color w:val="000000"/>
          <w:sz w:val="22"/>
        </w:rPr>
        <w:t>means all the remains of the cremated human body recovered after the completion of the cremation process, including pulverization that leaves only bone fragments reduced to unidentifiable dimensions and may include the residue of any foreign matter, including casket material, bridgework or eyeglasses that were cremated with the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“Cremation”</w:t>
      </w:r>
      <w:r>
        <w:rPr>
          <w:rFonts w:ascii="Times New Roman" w:hAnsi="Times New Roman"/>
          <w:b w:val="false"/>
          <w:i w:val="false"/>
          <w:color w:val="000000"/>
          <w:sz w:val="22"/>
        </w:rPr>
        <w:t> </w:t>
      </w:r>
      <w:r>
        <w:rPr>
          <w:rFonts w:ascii="Times New Roman" w:hAnsi="Times New Roman"/>
          <w:b w:val="false"/>
          <w:i w:val="false"/>
          <w:color w:val="000000"/>
          <w:sz w:val="22"/>
        </w:rPr>
        <w:t>means the technical process, using heat and flame, that reduces human remains to bone fragments. The reduction takes place through heat and evaporation. Cremation will include the processing, and may include the pulverization, of the bone fragments.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“Cremation authorization form”</w:t>
      </w:r>
      <w:r>
        <w:rPr>
          <w:rFonts w:ascii="Times New Roman" w:hAnsi="Times New Roman"/>
          <w:b w:val="false"/>
          <w:i w:val="false"/>
          <w:color w:val="000000"/>
          <w:sz w:val="22"/>
        </w:rPr>
        <w:t> </w:t>
      </w:r>
      <w:r>
        <w:rPr>
          <w:rFonts w:ascii="Times New Roman" w:hAnsi="Times New Roman"/>
          <w:b w:val="false"/>
          <w:i w:val="false"/>
          <w:color w:val="000000"/>
          <w:sz w:val="22"/>
        </w:rPr>
        <w:t>means a form, completed and signed by a funeral director and authorized person, to accompany all human remains accepted for cremation.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“Cremation chamber”</w:t>
      </w:r>
      <w:r>
        <w:rPr>
          <w:rFonts w:ascii="Times New Roman" w:hAnsi="Times New Roman"/>
          <w:b w:val="false"/>
          <w:i w:val="false"/>
          <w:color w:val="000000"/>
          <w:sz w:val="22"/>
        </w:rPr>
        <w:t> </w:t>
      </w:r>
      <w:r>
        <w:rPr>
          <w:rFonts w:ascii="Times New Roman" w:hAnsi="Times New Roman"/>
          <w:b w:val="false"/>
          <w:i w:val="false"/>
          <w:color w:val="000000"/>
          <w:sz w:val="22"/>
        </w:rPr>
        <w:t>means the enclosed space within which a cremation takes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“Cremation establishment”</w:t>
      </w:r>
      <w:r>
        <w:rPr>
          <w:rFonts w:ascii="Times New Roman" w:hAnsi="Times New Roman"/>
          <w:b w:val="false"/>
          <w:i w:val="false"/>
          <w:color w:val="000000"/>
          <w:sz w:val="22"/>
        </w:rPr>
        <w:t> </w:t>
      </w:r>
      <w:r>
        <w:rPr>
          <w:rFonts w:ascii="Times New Roman" w:hAnsi="Times New Roman"/>
          <w:b w:val="false"/>
          <w:i w:val="false"/>
          <w:color w:val="000000"/>
          <w:sz w:val="22"/>
        </w:rPr>
        <w:t>means any person, partnership or corporation that is licensed by the board and provides any aspect of cremation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“Cremation permit”</w:t>
      </w:r>
      <w:r>
        <w:rPr>
          <w:rFonts w:ascii="Times New Roman" w:hAnsi="Times New Roman"/>
          <w:b w:val="false"/>
          <w:i w:val="false"/>
          <w:color w:val="000000"/>
          <w:sz w:val="22"/>
        </w:rPr>
        <w:t> </w:t>
      </w:r>
      <w:r>
        <w:rPr>
          <w:rFonts w:ascii="Times New Roman" w:hAnsi="Times New Roman"/>
          <w:b w:val="false"/>
          <w:i w:val="false"/>
          <w:color w:val="000000"/>
          <w:sz w:val="22"/>
        </w:rPr>
        <w:t>means a permit issued by a medical examiner allowing cremation for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“Cremation room”</w:t>
      </w:r>
      <w:r>
        <w:rPr>
          <w:rFonts w:ascii="Times New Roman" w:hAnsi="Times New Roman"/>
          <w:b w:val="false"/>
          <w:i w:val="false"/>
          <w:color w:val="000000"/>
          <w:sz w:val="22"/>
        </w:rPr>
        <w:t> </w:t>
      </w:r>
      <w:r>
        <w:rPr>
          <w:rFonts w:ascii="Times New Roman" w:hAnsi="Times New Roman"/>
          <w:b w:val="false"/>
          <w:i w:val="false"/>
          <w:color w:val="000000"/>
          <w:sz w:val="22"/>
        </w:rPr>
        <w:t>means the room in which the cremation chamber is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“Crypt”</w:t>
      </w:r>
      <w:r>
        <w:rPr>
          <w:rFonts w:ascii="Times New Roman" w:hAnsi="Times New Roman"/>
          <w:b w:val="false"/>
          <w:i w:val="false"/>
          <w:color w:val="000000"/>
          <w:sz w:val="22"/>
        </w:rPr>
        <w:t> </w:t>
      </w:r>
      <w:r>
        <w:rPr>
          <w:rFonts w:ascii="Times New Roman" w:hAnsi="Times New Roman"/>
          <w:b w:val="false"/>
          <w:i w:val="false"/>
          <w:color w:val="000000"/>
          <w:sz w:val="22"/>
        </w:rPr>
        <w:t>means a chamber in a mausoleum of sufficient size to contain casketed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“Custody”</w:t>
      </w:r>
      <w:r>
        <w:rPr>
          <w:rFonts w:ascii="Times New Roman" w:hAnsi="Times New Roman"/>
          <w:b w:val="false"/>
          <w:i w:val="false"/>
          <w:color w:val="000000"/>
          <w:sz w:val="22"/>
        </w:rPr>
        <w:t> </w:t>
      </w:r>
      <w:r>
        <w:rPr>
          <w:rFonts w:ascii="Times New Roman" w:hAnsi="Times New Roman"/>
          <w:b w:val="false"/>
          <w:i w:val="false"/>
          <w:color w:val="000000"/>
          <w:sz w:val="22"/>
        </w:rPr>
        <w:t>means immediate charge and control exercised by a person or an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“Dead body.”</w:t>
      </w:r>
      <w:r>
        <w:rPr>
          <w:rFonts w:ascii="Times New Roman" w:hAnsi="Times New Roman"/>
          <w:b w:val="false"/>
          <w:i w:val="false"/>
          <w:color w:val="000000"/>
          <w:sz w:val="22"/>
        </w:rPr>
        <w:t> </w:t>
      </w:r>
      <w:r>
        <w:rPr>
          <w:rFonts w:ascii="Times New Roman" w:hAnsi="Times New Roman"/>
          <w:b w:val="false"/>
          <w:i w:val="false"/>
          <w:color w:val="000000"/>
          <w:sz w:val="22"/>
        </w:rPr>
        <w:t xml:space="preserve">See </w:t>
      </w:r>
      <w:r>
        <w:rPr>
          <w:rFonts w:ascii="Times New Roman" w:hAnsi="Times New Roman"/>
          <w:b w:val="false"/>
          <w:i/>
          <w:color w:val="000000"/>
          <w:sz w:val="22"/>
        </w:rPr>
        <w:t>“Human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“Death certificate”</w:t>
      </w:r>
      <w:r>
        <w:rPr>
          <w:rFonts w:ascii="Times New Roman" w:hAnsi="Times New Roman"/>
          <w:b w:val="false"/>
          <w:i w:val="false"/>
          <w:color w:val="000000"/>
          <w:sz w:val="22"/>
        </w:rPr>
        <w:t> </w:t>
      </w:r>
      <w:r>
        <w:rPr>
          <w:rFonts w:ascii="Times New Roman" w:hAnsi="Times New Roman"/>
          <w:b w:val="false"/>
          <w:i w:val="false"/>
          <w:color w:val="000000"/>
          <w:sz w:val="22"/>
        </w:rPr>
        <w:t>means a legal document containing vital statistics pertaining to the life and death of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“Decedent.”</w:t>
      </w:r>
      <w:r>
        <w:rPr>
          <w:rFonts w:ascii="Times New Roman" w:hAnsi="Times New Roman"/>
          <w:b w:val="false"/>
          <w:i w:val="false"/>
          <w:color w:val="000000"/>
          <w:sz w:val="22"/>
        </w:rPr>
        <w:t> </w:t>
      </w:r>
      <w:r>
        <w:rPr>
          <w:rFonts w:ascii="Times New Roman" w:hAnsi="Times New Roman"/>
          <w:b w:val="false"/>
          <w:i w:val="false"/>
          <w:color w:val="000000"/>
          <w:sz w:val="22"/>
        </w:rPr>
        <w:t xml:space="preserve">See </w:t>
      </w:r>
      <w:r>
        <w:rPr>
          <w:rFonts w:ascii="Times New Roman" w:hAnsi="Times New Roman"/>
          <w:b w:val="false"/>
          <w:i/>
          <w:color w:val="000000"/>
          <w:sz w:val="22"/>
        </w:rPr>
        <w:t>“Human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“Disinterment”</w:t>
      </w:r>
      <w:r>
        <w:rPr>
          <w:rFonts w:ascii="Times New Roman" w:hAnsi="Times New Roman"/>
          <w:b w:val="false"/>
          <w:i w:val="false"/>
          <w:color w:val="000000"/>
          <w:sz w:val="22"/>
        </w:rPr>
        <w:t> </w:t>
      </w:r>
      <w:r>
        <w:rPr>
          <w:rFonts w:ascii="Times New Roman" w:hAnsi="Times New Roman"/>
          <w:b w:val="false"/>
          <w:i w:val="false"/>
          <w:color w:val="000000"/>
          <w:sz w:val="22"/>
        </w:rPr>
        <w:t>means to remove a human remains from its place of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“Disinterment permit”</w:t>
      </w:r>
      <w:r>
        <w:rPr>
          <w:rFonts w:ascii="Times New Roman" w:hAnsi="Times New Roman"/>
          <w:b w:val="false"/>
          <w:i w:val="false"/>
          <w:color w:val="000000"/>
          <w:sz w:val="22"/>
        </w:rPr>
        <w:t> </w:t>
      </w:r>
      <w:r>
        <w:rPr>
          <w:rFonts w:ascii="Times New Roman" w:hAnsi="Times New Roman"/>
          <w:b w:val="false"/>
          <w:i w:val="false"/>
          <w:color w:val="000000"/>
          <w:sz w:val="22"/>
        </w:rPr>
        <w:t>means a permit from the department of health and human services that allows the removal of a human remains from its original place of burial, entombment or interment for the purpose of autopsy or reburial.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“Disinterment permit number”</w:t>
      </w:r>
      <w:r>
        <w:rPr>
          <w:rFonts w:ascii="Times New Roman" w:hAnsi="Times New Roman"/>
          <w:b w:val="false"/>
          <w:i w:val="false"/>
          <w:color w:val="000000"/>
          <w:sz w:val="22"/>
        </w:rPr>
        <w:t> </w:t>
      </w:r>
      <w:r>
        <w:rPr>
          <w:rFonts w:ascii="Times New Roman" w:hAnsi="Times New Roman"/>
          <w:b w:val="false"/>
          <w:i w:val="false"/>
          <w:color w:val="000000"/>
          <w:sz w:val="22"/>
        </w:rPr>
        <w:t>means the number assigned to a disinterment permit by the department of health and human services, giving the funeral director the authority to remove a human remains from its place of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“Embalming”</w:t>
      </w:r>
      <w:r>
        <w:rPr>
          <w:rFonts w:ascii="Times New Roman" w:hAnsi="Times New Roman"/>
          <w:b w:val="false"/>
          <w:i w:val="false"/>
          <w:color w:val="000000"/>
          <w:sz w:val="22"/>
        </w:rPr>
        <w:t> </w:t>
      </w:r>
      <w:r>
        <w:rPr>
          <w:rFonts w:ascii="Times New Roman" w:hAnsi="Times New Roman"/>
          <w:b w:val="false"/>
          <w:i w:val="false"/>
          <w:color w:val="000000"/>
          <w:sz w:val="22"/>
        </w:rPr>
        <w:t>means the disinfection or temporary preservation of human remains, entire or in part, by the use of chemical substances, fluids or gases in the body, or by the introduction of same into the body by vascular or hypodermic injections, or by surface application into or on the organs or cavities for the purpose of temporary preservation or disinfection.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“Embalming record”</w:t>
      </w:r>
      <w:r>
        <w:rPr>
          <w:rFonts w:ascii="Times New Roman" w:hAnsi="Times New Roman"/>
          <w:b w:val="false"/>
          <w:i w:val="false"/>
          <w:color w:val="000000"/>
          <w:sz w:val="22"/>
        </w:rPr>
        <w:t> </w:t>
      </w:r>
      <w:r>
        <w:rPr>
          <w:rFonts w:ascii="Times New Roman" w:hAnsi="Times New Roman"/>
          <w:b w:val="false"/>
          <w:i w:val="false"/>
          <w:color w:val="000000"/>
          <w:sz w:val="22"/>
        </w:rPr>
        <w:t>means a record completed by the licensed funeral director or registered intern for each body embalmed in Iowa, or otherwise prepared for disposition by the licensee. “Embalming record” includes, at a minimum, a case analysis and a detailed listing of the procedures or treatments or both performed on the deceased.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“Entombment”</w:t>
      </w:r>
      <w:r>
        <w:rPr>
          <w:rFonts w:ascii="Times New Roman" w:hAnsi="Times New Roman"/>
          <w:b w:val="false"/>
          <w:i w:val="false"/>
          <w:color w:val="000000"/>
          <w:sz w:val="22"/>
        </w:rPr>
        <w:t> </w:t>
      </w:r>
      <w:r>
        <w:rPr>
          <w:rFonts w:ascii="Times New Roman" w:hAnsi="Times New Roman"/>
          <w:b w:val="false"/>
          <w:i w:val="false"/>
          <w:color w:val="000000"/>
          <w:sz w:val="22"/>
        </w:rPr>
        <w:t>means to place a casketed body or an urn containing cremated remains in a structure such as a mausoleum, crypt, tomb or columbarium.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“Final disposition”</w:t>
      </w:r>
      <w:r>
        <w:rPr>
          <w:rFonts w:ascii="Times New Roman" w:hAnsi="Times New Roman"/>
          <w:b w:val="false"/>
          <w:i w:val="false"/>
          <w:color w:val="000000"/>
          <w:sz w:val="22"/>
        </w:rPr>
        <w:t> </w:t>
      </w:r>
      <w:r>
        <w:rPr>
          <w:rFonts w:ascii="Times New Roman" w:hAnsi="Times New Roman"/>
          <w:b w:val="false"/>
          <w:i w:val="false"/>
          <w:color w:val="000000"/>
          <w:sz w:val="22"/>
        </w:rPr>
        <w:t>means the burial, interment, cremation, removal from the state, or other disposition of a dead body or fetus.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“Funeral ceremony”</w:t>
      </w:r>
      <w:r>
        <w:rPr>
          <w:rFonts w:ascii="Times New Roman" w:hAnsi="Times New Roman"/>
          <w:b w:val="false"/>
          <w:i w:val="false"/>
          <w:color w:val="000000"/>
          <w:sz w:val="22"/>
        </w:rPr>
        <w:t> </w:t>
      </w:r>
      <w:r>
        <w:rPr>
          <w:rFonts w:ascii="Times New Roman" w:hAnsi="Times New Roman"/>
          <w:b w:val="false"/>
          <w:i w:val="false"/>
          <w:color w:val="000000"/>
          <w:sz w:val="22"/>
        </w:rPr>
        <w:t>means a service commemorating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“Funeral director”</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by the board to practice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“Funeral establishment”</w:t>
      </w:r>
      <w:r>
        <w:rPr>
          <w:rFonts w:ascii="Times New Roman" w:hAnsi="Times New Roman"/>
          <w:b w:val="false"/>
          <w:i w:val="false"/>
          <w:color w:val="000000"/>
          <w:sz w:val="22"/>
        </w:rPr>
        <w:t> </w:t>
      </w:r>
      <w:r>
        <w:rPr>
          <w:rFonts w:ascii="Times New Roman" w:hAnsi="Times New Roman"/>
          <w:b w:val="false"/>
          <w:i w:val="false"/>
          <w:color w:val="000000"/>
          <w:sz w:val="22"/>
        </w:rPr>
        <w:t>means a place of business as defined and licensed by the board devoted to providing any aspect of mortuary science.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“Funeral rule”</w:t>
      </w:r>
      <w:r>
        <w:rPr>
          <w:rFonts w:ascii="Times New Roman" w:hAnsi="Times New Roman"/>
          <w:b w:val="false"/>
          <w:i w:val="false"/>
          <w:color w:val="000000"/>
          <w:sz w:val="22"/>
        </w:rPr>
        <w:t> </w:t>
      </w:r>
      <w:r>
        <w:rPr>
          <w:rFonts w:ascii="Times New Roman" w:hAnsi="Times New Roman"/>
          <w:b w:val="false"/>
          <w:i w:val="false"/>
          <w:color w:val="000000"/>
          <w:sz w:val="22"/>
        </w:rPr>
        <w:t>means the Federal Trade Commission Funeral Rule, 16 CFR §453.4, as amended to 1994.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“Funeral services”</w:t>
      </w:r>
      <w:r>
        <w:rPr>
          <w:rFonts w:ascii="Times New Roman" w:hAnsi="Times New Roman"/>
          <w:b w:val="false"/>
          <w:i w:val="false"/>
          <w:color w:val="000000"/>
          <w:sz w:val="22"/>
        </w:rPr>
        <w:t> </w:t>
      </w:r>
      <w:r>
        <w:rPr>
          <w:rFonts w:ascii="Times New Roman" w:hAnsi="Times New Roman"/>
          <w:b w:val="false"/>
          <w:i w:val="false"/>
          <w:color w:val="000000"/>
          <w:sz w:val="22"/>
        </w:rPr>
        <w:t>means any services that may be used to (1) care for and prepare human remains for burial, cremation or other final disposition; and (2) arrange, supervise or conduct the funeral ceremony or final disposition of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“Holding facility”</w:t>
      </w:r>
      <w:r>
        <w:rPr>
          <w:rFonts w:ascii="Times New Roman" w:hAnsi="Times New Roman"/>
          <w:b w:val="false"/>
          <w:i w:val="false"/>
          <w:color w:val="000000"/>
          <w:sz w:val="22"/>
        </w:rPr>
        <w:t> </w:t>
      </w:r>
      <w:r>
        <w:rPr>
          <w:rFonts w:ascii="Times New Roman" w:hAnsi="Times New Roman"/>
          <w:b w:val="false"/>
          <w:i w:val="false"/>
          <w:color w:val="000000"/>
          <w:sz w:val="22"/>
        </w:rPr>
        <w:t>means an area isolated from the general public that is designated for the temporary retention of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“Human remains”</w:t>
      </w:r>
      <w:r>
        <w:rPr>
          <w:rFonts w:ascii="Times New Roman" w:hAnsi="Times New Roman"/>
          <w:b w:val="false"/>
          <w:i w:val="false"/>
          <w:color w:val="000000"/>
          <w:sz w:val="22"/>
        </w:rPr>
        <w:t> </w:t>
      </w:r>
      <w:r>
        <w:rPr>
          <w:rFonts w:ascii="Times New Roman" w:hAnsi="Times New Roman"/>
          <w:b w:val="false"/>
          <w:i w:val="false"/>
          <w:color w:val="000000"/>
          <w:sz w:val="22"/>
        </w:rPr>
        <w:t>means a deceased human being for which a death certificate or fetal death certificate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“Interment”</w:t>
      </w:r>
      <w:r>
        <w:rPr>
          <w:rFonts w:ascii="Times New Roman" w:hAnsi="Times New Roman"/>
          <w:b w:val="false"/>
          <w:i w:val="false"/>
          <w:color w:val="000000"/>
          <w:sz w:val="22"/>
        </w:rPr>
        <w:t> </w:t>
      </w:r>
      <w:r>
        <w:rPr>
          <w:rFonts w:ascii="Times New Roman" w:hAnsi="Times New Roman"/>
          <w:b w:val="false"/>
          <w:i w:val="false"/>
          <w:color w:val="000000"/>
          <w:sz w:val="22"/>
        </w:rPr>
        <w:t>means to place a casketed human remains or an urn containing cremated remains in the 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“Intern”</w:t>
      </w:r>
      <w:r>
        <w:rPr>
          <w:rFonts w:ascii="Times New Roman" w:hAnsi="Times New Roman"/>
          <w:b w:val="false"/>
          <w:i w:val="false"/>
          <w:color w:val="000000"/>
          <w:sz w:val="22"/>
        </w:rPr>
        <w:t> </w:t>
      </w:r>
      <w:r>
        <w:rPr>
          <w:rFonts w:ascii="Times New Roman" w:hAnsi="Times New Roman"/>
          <w:b w:val="false"/>
          <w:i w:val="false"/>
          <w:color w:val="000000"/>
          <w:sz w:val="22"/>
        </w:rPr>
        <w:t>means a person registered by the board to practice mortuary science under the direct supervision of a preceptor certified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“Mausoleum”</w:t>
      </w:r>
      <w:r>
        <w:rPr>
          <w:rFonts w:ascii="Times New Roman" w:hAnsi="Times New Roman"/>
          <w:b w:val="false"/>
          <w:i w:val="false"/>
          <w:color w:val="000000"/>
          <w:sz w:val="22"/>
        </w:rPr>
        <w:t> </w:t>
      </w:r>
      <w:r>
        <w:rPr>
          <w:rFonts w:ascii="Times New Roman" w:hAnsi="Times New Roman"/>
          <w:b w:val="false"/>
          <w:i w:val="false"/>
          <w:color w:val="000000"/>
          <w:sz w:val="22"/>
        </w:rPr>
        <w:t>means an aboveground structure designed for entombment of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examiner”</w:t>
      </w:r>
      <w:r>
        <w:rPr>
          <w:rFonts w:ascii="Times New Roman" w:hAnsi="Times New Roman"/>
          <w:b w:val="false"/>
          <w:i w:val="false"/>
          <w:color w:val="000000"/>
          <w:sz w:val="22"/>
        </w:rPr>
        <w:t> </w:t>
      </w:r>
      <w:r>
        <w:rPr>
          <w:rFonts w:ascii="Times New Roman" w:hAnsi="Times New Roman"/>
          <w:b w:val="false"/>
          <w:i w:val="false"/>
          <w:color w:val="000000"/>
          <w:sz w:val="22"/>
        </w:rPr>
        <w:t>means a public official whose primary function is to investigate and determine the cause of death when death may be thought to be from other than natural causes.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“Memorial ceremony”</w:t>
      </w:r>
      <w:r>
        <w:rPr>
          <w:rFonts w:ascii="Times New Roman" w:hAnsi="Times New Roman"/>
          <w:b w:val="false"/>
          <w:i w:val="false"/>
          <w:color w:val="000000"/>
          <w:sz w:val="22"/>
        </w:rPr>
        <w:t> </w:t>
      </w:r>
      <w:r>
        <w:rPr>
          <w:rFonts w:ascii="Times New Roman" w:hAnsi="Times New Roman"/>
          <w:b w:val="false"/>
          <w:i w:val="false"/>
          <w:color w:val="000000"/>
          <w:sz w:val="22"/>
        </w:rPr>
        <w:t>means a service commemorating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“Niche”</w:t>
      </w:r>
      <w:r>
        <w:rPr>
          <w:rFonts w:ascii="Times New Roman" w:hAnsi="Times New Roman"/>
          <w:b w:val="false"/>
          <w:i w:val="false"/>
          <w:color w:val="000000"/>
          <w:sz w:val="22"/>
        </w:rPr>
        <w:t> </w:t>
      </w:r>
      <w:r>
        <w:rPr>
          <w:rFonts w:ascii="Times New Roman" w:hAnsi="Times New Roman"/>
          <w:b w:val="false"/>
          <w:i w:val="false"/>
          <w:color w:val="000000"/>
          <w:sz w:val="22"/>
        </w:rPr>
        <w:t>means a recess or space in a columbarium or mausoleum used for placement of cremated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“Preparation room”</w:t>
      </w:r>
      <w:r>
        <w:rPr>
          <w:rFonts w:ascii="Times New Roman" w:hAnsi="Times New Roman"/>
          <w:b w:val="false"/>
          <w:i w:val="false"/>
          <w:color w:val="000000"/>
          <w:sz w:val="22"/>
        </w:rPr>
        <w:t> </w:t>
      </w:r>
      <w:r>
        <w:rPr>
          <w:rFonts w:ascii="Times New Roman" w:hAnsi="Times New Roman"/>
          <w:b w:val="false"/>
          <w:i w:val="false"/>
          <w:color w:val="000000"/>
          <w:sz w:val="22"/>
        </w:rPr>
        <w:t>means a room in a funeral establishment where human remains are prepared, sanitized, embalmed or held for ceremonies and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“Pulverization”</w:t>
      </w:r>
      <w:r>
        <w:rPr>
          <w:rFonts w:ascii="Times New Roman" w:hAnsi="Times New Roman"/>
          <w:b w:val="false"/>
          <w:i w:val="false"/>
          <w:color w:val="000000"/>
          <w:sz w:val="22"/>
        </w:rPr>
        <w:t> </w:t>
      </w:r>
      <w:r>
        <w:rPr>
          <w:rFonts w:ascii="Times New Roman" w:hAnsi="Times New Roman"/>
          <w:b w:val="false"/>
          <w:i w:val="false"/>
          <w:color w:val="000000"/>
          <w:sz w:val="22"/>
        </w:rPr>
        <w:t>means a process following cremation that reduces identifiable bone fragments into granulated particles.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“Removal”</w:t>
      </w:r>
      <w:r>
        <w:rPr>
          <w:rFonts w:ascii="Times New Roman" w:hAnsi="Times New Roman"/>
          <w:b w:val="false"/>
          <w:i w:val="false"/>
          <w:color w:val="000000"/>
          <w:sz w:val="22"/>
        </w:rPr>
        <w:t> </w:t>
      </w:r>
      <w:r>
        <w:rPr>
          <w:rFonts w:ascii="Times New Roman" w:hAnsi="Times New Roman"/>
          <w:b w:val="false"/>
          <w:i w:val="false"/>
          <w:color w:val="000000"/>
          <w:sz w:val="22"/>
        </w:rPr>
        <w:t>means the act of taking a human remains from the place of death or place where the human remains is being held to a funeral establishment or other designated place.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“Removal technician”</w:t>
      </w:r>
      <w:r>
        <w:rPr>
          <w:rFonts w:ascii="Times New Roman" w:hAnsi="Times New Roman"/>
          <w:b w:val="false"/>
          <w:i w:val="false"/>
          <w:color w:val="000000"/>
          <w:sz w:val="22"/>
        </w:rPr>
        <w:t> </w:t>
      </w:r>
      <w:r>
        <w:rPr>
          <w:rFonts w:ascii="Times New Roman" w:hAnsi="Times New Roman"/>
          <w:b w:val="false"/>
          <w:i w:val="false"/>
          <w:color w:val="000000"/>
          <w:sz w:val="22"/>
        </w:rPr>
        <w:t>means a person registered with the board to perform removals.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“Scattering area”</w:t>
      </w:r>
      <w:r>
        <w:rPr>
          <w:rFonts w:ascii="Times New Roman" w:hAnsi="Times New Roman"/>
          <w:b w:val="false"/>
          <w:i w:val="false"/>
          <w:color w:val="000000"/>
          <w:sz w:val="22"/>
        </w:rPr>
        <w:t> </w:t>
      </w:r>
      <w:r>
        <w:rPr>
          <w:rFonts w:ascii="Times New Roman" w:hAnsi="Times New Roman"/>
          <w:b w:val="false"/>
          <w:i w:val="false"/>
          <w:color w:val="000000"/>
          <w:sz w:val="22"/>
        </w:rPr>
        <w:t>means a designated area where cremated remains may be commingled with other cremated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“Temporary cremation container”</w:t>
      </w:r>
      <w:r>
        <w:rPr>
          <w:rFonts w:ascii="Times New Roman" w:hAnsi="Times New Roman"/>
          <w:b w:val="false"/>
          <w:i w:val="false"/>
          <w:color w:val="000000"/>
          <w:sz w:val="22"/>
        </w:rPr>
        <w:t> </w:t>
      </w:r>
      <w:r>
        <w:rPr>
          <w:rFonts w:ascii="Times New Roman" w:hAnsi="Times New Roman"/>
          <w:b w:val="false"/>
          <w:i w:val="false"/>
          <w:color w:val="000000"/>
          <w:sz w:val="22"/>
        </w:rPr>
        <w:t>means a durable receptacle designed for short-term retention of cremated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“Their own dead”</w:t>
      </w:r>
      <w:r>
        <w:rPr>
          <w:rFonts w:ascii="Times New Roman" w:hAnsi="Times New Roman"/>
          <w:b w:val="false"/>
          <w:i w:val="false"/>
          <w:color w:val="000000"/>
          <w:sz w:val="22"/>
        </w:rPr>
        <w:t> </w:t>
      </w:r>
      <w:r>
        <w:rPr>
          <w:rFonts w:ascii="Times New Roman" w:hAnsi="Times New Roman"/>
          <w:b w:val="false"/>
          <w:i w:val="false"/>
          <w:color w:val="000000"/>
          <w:sz w:val="22"/>
        </w:rPr>
        <w:t>refers to the legal authority the authorized person has regarding a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“Topical disinfection”</w:t>
      </w:r>
      <w:r>
        <w:rPr>
          <w:rFonts w:ascii="Times New Roman" w:hAnsi="Times New Roman"/>
          <w:b w:val="false"/>
          <w:i w:val="false"/>
          <w:color w:val="000000"/>
          <w:sz w:val="22"/>
        </w:rPr>
        <w:t> </w:t>
      </w:r>
      <w:r>
        <w:rPr>
          <w:rFonts w:ascii="Times New Roman" w:hAnsi="Times New Roman"/>
          <w:b w:val="false"/>
          <w:i w:val="false"/>
          <w:color w:val="000000"/>
          <w:sz w:val="22"/>
        </w:rPr>
        <w:t>means the direct application of chemical substances on the surface of a human remains for the purpose of temporary preservation or disinfection.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“Transfer.”</w:t>
      </w:r>
      <w:r>
        <w:rPr>
          <w:rFonts w:ascii="Times New Roman" w:hAnsi="Times New Roman"/>
          <w:b w:val="false"/>
          <w:i w:val="false"/>
          <w:color w:val="000000"/>
          <w:sz w:val="22"/>
        </w:rPr>
        <w:t> </w:t>
      </w:r>
      <w:r>
        <w:rPr>
          <w:rFonts w:ascii="Times New Roman" w:hAnsi="Times New Roman"/>
          <w:b w:val="false"/>
          <w:i w:val="false"/>
          <w:color w:val="000000"/>
          <w:sz w:val="22"/>
        </w:rPr>
        <w:t xml:space="preserve">See </w:t>
      </w:r>
      <w:r>
        <w:rPr>
          <w:rFonts w:ascii="Times New Roman" w:hAnsi="Times New Roman"/>
          <w:b w:val="false"/>
          <w:i/>
          <w:color w:val="000000"/>
          <w:sz w:val="22"/>
        </w:rPr>
        <w:t>“Removal.”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“Universal precautions”</w:t>
      </w:r>
      <w:r>
        <w:rPr>
          <w:rFonts w:ascii="Times New Roman" w:hAnsi="Times New Roman"/>
          <w:b w:val="false"/>
          <w:i w:val="false"/>
          <w:color w:val="000000"/>
          <w:sz w:val="22"/>
        </w:rPr>
        <w:t> </w:t>
      </w:r>
      <w:r>
        <w:rPr>
          <w:rFonts w:ascii="Times New Roman" w:hAnsi="Times New Roman"/>
          <w:b w:val="false"/>
          <w:i w:val="false"/>
          <w:color w:val="000000"/>
          <w:sz w:val="22"/>
        </w:rPr>
        <w:t>means a concept of care based upon the assumption that all blood and body fluids, and materials that have come into contact with blood or body fluids, are potentially infectious as prescribed by the Centers for Disease Control and Prevention (CDC).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“Urn”</w:t>
      </w:r>
      <w:r>
        <w:rPr>
          <w:rFonts w:ascii="Times New Roman" w:hAnsi="Times New Roman"/>
          <w:b w:val="false"/>
          <w:i w:val="false"/>
          <w:color w:val="000000"/>
          <w:sz w:val="22"/>
        </w:rPr>
        <w:t> </w:t>
      </w:r>
      <w:r>
        <w:rPr>
          <w:rFonts w:ascii="Times New Roman" w:hAnsi="Times New Roman"/>
          <w:b w:val="false"/>
          <w:i w:val="false"/>
          <w:color w:val="000000"/>
          <w:sz w:val="22"/>
        </w:rPr>
        <w:t>means a receptacle designed for permanent retention of cremated remains.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481—900.2</w:t>
      </w:r>
      <w:r>
        <w:rPr>
          <w:rFonts w:ascii="Times New Roman" w:hAnsi="Times New Roman"/>
          <w:b/>
          <w:i w:val="false"/>
          <w:color w:val="000000"/>
          <w:sz w:val="22"/>
        </w:rPr>
        <w:t xml:space="preserve">(156) </w:t>
      </w:r>
      <w:r>
        <w:rPr>
          <w:rFonts w:ascii="Times New Roman" w:hAnsi="Times New Roman"/>
          <w:b/>
          <w:i w:val="false"/>
          <w:color w:val="000000"/>
          <w:sz w:val="22"/>
        </w:rPr>
        <w:t xml:space="preserve">Funeral director duties.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900.2(1)</w:t>
      </w:r>
      <w:r>
        <w:rPr>
          <w:rFonts w:ascii="Times New Roman" w:hAnsi="Times New Roman"/>
          <w:b w:val="false"/>
          <w:i w:val="false"/>
          <w:color w:val="000000"/>
          <w:sz w:val="22"/>
        </w:rPr>
        <w:t> </w:t>
      </w:r>
      <w:r>
        <w:rPr>
          <w:rFonts w:ascii="Times New Roman" w:hAnsi="Times New Roman"/>
          <w:b w:val="false"/>
          <w:i w:val="false"/>
          <w:color w:val="000000"/>
          <w:sz w:val="22"/>
        </w:rPr>
        <w:t>Practices requiring a funeral director’s license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Removal as specified in rule </w:t>
      </w:r>
      <w:hyperlink r:id="rId6">
        <w:r>
          <w:rPr>
            <w:rStyle w:val="Hyperlink"/>
            <w:rFonts w:ascii="Times New Roman" w:hAnsi="Times New Roman"/>
            <w:b w:val="false"/>
            <w:i w:val="false"/>
            <w:color w:val="000000"/>
            <w:sz w:val="22"/>
          </w:rPr>
          <w:t>481—900.4(142,156)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Embalming human remains as specified in rule </w:t>
      </w:r>
      <w:hyperlink r:id="rId7">
        <w:r>
          <w:rPr>
            <w:rStyle w:val="Hyperlink"/>
            <w:rFonts w:ascii="Times New Roman" w:hAnsi="Times New Roman"/>
            <w:b w:val="false"/>
            <w:i w:val="false"/>
            <w:color w:val="000000"/>
            <w:sz w:val="22"/>
          </w:rPr>
          <w:t>481—900.6</w:t>
        </w:r>
      </w:hyperlink>
      <w:r>
        <w:rPr>
          <w:rFonts w:ascii="Times New Roman" w:hAnsi="Times New Roman"/>
          <w:b w:val="false"/>
          <w:i w:val="false"/>
          <w:color w:val="000000"/>
          <w:sz w:val="22"/>
        </w:rPr>
        <w:t xml:space="preserve">(156) and completing embalming records as specified in paragraph </w:t>
      </w:r>
      <w:hyperlink r:id="rId8">
        <w:r>
          <w:rPr>
            <w:rStyle w:val="Hyperlink"/>
            <w:rFonts w:ascii="Times New Roman" w:hAnsi="Times New Roman"/>
            <w:b w:val="false"/>
            <w:i w:val="false"/>
            <w:color w:val="000000"/>
            <w:sz w:val="22"/>
          </w:rPr>
          <w:t>900.11(2)</w:t>
        </w:r>
        <w:r>
          <w:rPr>
            <w:rFonts w:ascii="Times New Roman" w:hAnsi="Times New Roman"/>
            <w:b w:val="false"/>
            <w:i/>
            <w:color w:val="000000"/>
            <w:sz w:val="22"/>
          </w:rPr>
          <w:t>“d.”</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Conducting funeral arrangements as specified in subrule </w:t>
      </w:r>
      <w:hyperlink r:id="rId9">
        <w:r>
          <w:rPr>
            <w:rStyle w:val="Hyperlink"/>
            <w:rFonts w:ascii="Times New Roman" w:hAnsi="Times New Roman"/>
            <w:b w:val="false"/>
            <w:i w:val="false"/>
            <w:color w:val="000000"/>
            <w:sz w:val="22"/>
          </w:rPr>
          <w:t>900.7(2)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Conducting funeral services when contracted to do so,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Direct supervision of visitation and viewing.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Funeral and memorial ceremonies.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Committal and final disposition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Conducting cremation services as specified in rule </w:t>
      </w:r>
      <w:hyperlink r:id="rId10">
        <w:r>
          <w:rPr>
            <w:rStyle w:val="Hyperlink"/>
            <w:rFonts w:ascii="Times New Roman" w:hAnsi="Times New Roman"/>
            <w:b w:val="false"/>
            <w:i w:val="false"/>
            <w:color w:val="000000"/>
            <w:sz w:val="22"/>
          </w:rPr>
          <w:t>481—900.10(156)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Signing death certificates and performing associated duties under Iowa Code chapter </w:t>
      </w:r>
      <w:hyperlink r:id="rId11">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900.2(2)</w:t>
      </w:r>
      <w:r>
        <w:rPr>
          <w:rFonts w:ascii="Times New Roman" w:hAnsi="Times New Roman"/>
          <w:b w:val="false"/>
          <w:i w:val="false"/>
          <w:color w:val="000000"/>
          <w:sz w:val="22"/>
        </w:rPr>
        <w:t> </w:t>
      </w:r>
      <w:r>
        <w:rPr>
          <w:rFonts w:ascii="Times New Roman" w:hAnsi="Times New Roman"/>
          <w:b w:val="false"/>
          <w:i w:val="false"/>
          <w:color w:val="000000"/>
          <w:sz w:val="22"/>
        </w:rPr>
        <w:t>Delegation of professional tasks.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Registered interns. Registered interns may provide funeral director services identified in paragraphs </w:t>
      </w:r>
      <w:hyperlink r:id="rId12">
        <w:r>
          <w:rPr>
            <w:rStyle w:val="Hyperlink"/>
            <w:rFonts w:ascii="Times New Roman" w:hAnsi="Times New Roman"/>
            <w:b w:val="false"/>
            <w:i w:val="false"/>
            <w:color w:val="000000"/>
            <w:sz w:val="22"/>
          </w:rPr>
          <w:t>900.2(1)</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“f”</w:t>
      </w:r>
      <w:r>
        <w:rPr>
          <w:rFonts w:ascii="Times New Roman" w:hAnsi="Times New Roman"/>
          <w:b w:val="false"/>
          <w:i w:val="false"/>
          <w:color w:val="000000"/>
          <w:sz w:val="22"/>
        </w:rPr>
        <w:t xml:space="preserve"> under the direct supervision of an Iowa-licensed preceptor. A registered intern will not sign a death certificate.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funeral director may delegate solely the transportation of unembalmed human remains to a registered removal technician pursuant to subrule </w:t>
      </w:r>
      <w:hyperlink r:id="rId13">
        <w:r>
          <w:rPr>
            <w:rStyle w:val="Hyperlink"/>
            <w:rFonts w:ascii="Times New Roman" w:hAnsi="Times New Roman"/>
            <w:b w:val="false"/>
            <w:i w:val="false"/>
            <w:color w:val="000000"/>
            <w:sz w:val="22"/>
          </w:rPr>
          <w:t>900.4(3)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900.2(3)</w:t>
      </w:r>
      <w:r>
        <w:rPr>
          <w:rFonts w:ascii="Times New Roman" w:hAnsi="Times New Roman"/>
          <w:b w:val="false"/>
          <w:i w:val="false"/>
          <w:color w:val="000000"/>
          <w:sz w:val="22"/>
        </w:rPr>
        <w:t> </w:t>
      </w:r>
      <w:r>
        <w:rPr>
          <w:rFonts w:ascii="Times New Roman" w:hAnsi="Times New Roman"/>
          <w:b w:val="false"/>
          <w:i w:val="false"/>
          <w:color w:val="000000"/>
          <w:sz w:val="22"/>
        </w:rPr>
        <w:t xml:space="preserve">CDC universal precautions and OSHA standards. The funeral director and delegates identified in subrule </w:t>
      </w:r>
      <w:hyperlink r:id="rId14">
        <w:r>
          <w:rPr>
            <w:rStyle w:val="Hyperlink"/>
            <w:rFonts w:ascii="Times New Roman" w:hAnsi="Times New Roman"/>
            <w:b w:val="false"/>
            <w:i w:val="false"/>
            <w:color w:val="000000"/>
            <w:sz w:val="22"/>
          </w:rPr>
          <w:t>900.2(2)</w:t>
        </w:r>
      </w:hyperlink>
      <w:r>
        <w:rPr>
          <w:rFonts w:ascii="Times New Roman" w:hAnsi="Times New Roman"/>
          <w:b w:val="false"/>
          <w:i w:val="false"/>
          <w:color w:val="000000"/>
          <w:sz w:val="22"/>
        </w:rPr>
        <w:t xml:space="preserve"> will observe current guidelines of universal precautions as prescribed by the Centers for Disease Control and Prevention (CDC) as well as Occupational Safety and Health Administration (OSHA)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900.2(4)</w:t>
      </w:r>
      <w:r>
        <w:rPr>
          <w:rFonts w:ascii="Times New Roman" w:hAnsi="Times New Roman"/>
          <w:b w:val="false"/>
          <w:i w:val="false"/>
          <w:color w:val="000000"/>
          <w:sz w:val="22"/>
        </w:rPr>
        <w:t> </w:t>
      </w:r>
      <w:r>
        <w:rPr>
          <w:rFonts w:ascii="Times New Roman" w:hAnsi="Times New Roman"/>
          <w:b w:val="false"/>
          <w:i w:val="false"/>
          <w:color w:val="000000"/>
          <w:sz w:val="22"/>
        </w:rPr>
        <w:t>Funeral directors who provide mortuary science services from funeral establishments located in another state. A funeral director who holds an active Iowa funeral director’s license and whose practice is conducted from a funeral establishment located in another state may provide mortuary science services in Iowa if the establishment holds a current license in the state in which it is located, if such a license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900.2(5)</w:t>
      </w:r>
      <w:r>
        <w:rPr>
          <w:rFonts w:ascii="Times New Roman" w:hAnsi="Times New Roman"/>
          <w:b w:val="false"/>
          <w:i w:val="false"/>
          <w:color w:val="000000"/>
          <w:sz w:val="22"/>
        </w:rPr>
        <w:t> </w:t>
      </w:r>
      <w:r>
        <w:rPr>
          <w:rFonts w:ascii="Times New Roman" w:hAnsi="Times New Roman"/>
          <w:b w:val="false"/>
          <w:i w:val="false"/>
          <w:color w:val="000000"/>
          <w:sz w:val="22"/>
        </w:rPr>
        <w:t>Withholding human remains. A funeral director will not withhold human remains based solely on nonpayment of fees.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481—900.3</w:t>
      </w:r>
      <w:r>
        <w:rPr>
          <w:rFonts w:ascii="Times New Roman" w:hAnsi="Times New Roman"/>
          <w:b/>
          <w:i w:val="false"/>
          <w:color w:val="000000"/>
          <w:sz w:val="22"/>
        </w:rPr>
        <w:t xml:space="preserve">(156) </w:t>
      </w:r>
      <w:r>
        <w:rPr>
          <w:rFonts w:ascii="Times New Roman" w:hAnsi="Times New Roman"/>
          <w:b/>
          <w:i w:val="false"/>
          <w:color w:val="000000"/>
          <w:sz w:val="22"/>
        </w:rPr>
        <w:t xml:space="preserve">Permanent identification tag.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900.3(1)</w:t>
      </w:r>
      <w:r>
        <w:rPr>
          <w:rFonts w:ascii="Times New Roman" w:hAnsi="Times New Roman"/>
          <w:b w:val="false"/>
          <w:i w:val="false"/>
          <w:color w:val="000000"/>
          <w:sz w:val="22"/>
        </w:rPr>
        <w:t> </w:t>
      </w:r>
      <w:r>
        <w:rPr>
          <w:rFonts w:ascii="Times New Roman" w:hAnsi="Times New Roman"/>
          <w:b w:val="false"/>
          <w:i w:val="false"/>
          <w:color w:val="000000"/>
          <w:sz w:val="22"/>
        </w:rPr>
        <w:t>The funeral director, intern, or removal technician who assumes possession of a human remains will attach a permanent identification tag.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900.3(2)</w:t>
      </w:r>
      <w:r>
        <w:rPr>
          <w:rFonts w:ascii="Times New Roman" w:hAnsi="Times New Roman"/>
          <w:b w:val="false"/>
          <w:i w:val="false"/>
          <w:color w:val="000000"/>
          <w:sz w:val="22"/>
        </w:rPr>
        <w:t> </w:t>
      </w:r>
      <w:r>
        <w:rPr>
          <w:rFonts w:ascii="Times New Roman" w:hAnsi="Times New Roman"/>
          <w:b w:val="false"/>
          <w:i w:val="false"/>
          <w:color w:val="000000"/>
          <w:sz w:val="22"/>
        </w:rPr>
        <w:t>The identification tag will initially contain, at a minimum, the name of the deceased.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900.3(3)</w:t>
      </w:r>
      <w:r>
        <w:rPr>
          <w:rFonts w:ascii="Times New Roman" w:hAnsi="Times New Roman"/>
          <w:b w:val="false"/>
          <w:i w:val="false"/>
          <w:color w:val="000000"/>
          <w:sz w:val="22"/>
        </w:rPr>
        <w:t> </w:t>
      </w:r>
      <w:r>
        <w:rPr>
          <w:rFonts w:ascii="Times New Roman" w:hAnsi="Times New Roman"/>
          <w:b w:val="false"/>
          <w:i w:val="false"/>
          <w:color w:val="000000"/>
          <w:sz w:val="22"/>
        </w:rPr>
        <w:t>Before final disposition, the identification tag will contain the name of the deceased and the date of birth, date of death and social security number of the deceased and the name and license number of the funeral establishment in charge of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900.3(4)</w:t>
      </w:r>
      <w:r>
        <w:rPr>
          <w:rFonts w:ascii="Times New Roman" w:hAnsi="Times New Roman"/>
          <w:b w:val="false"/>
          <w:i w:val="false"/>
          <w:color w:val="000000"/>
          <w:sz w:val="22"/>
        </w:rPr>
        <w:t> </w:t>
      </w:r>
      <w:r>
        <w:rPr>
          <w:rFonts w:ascii="Times New Roman" w:hAnsi="Times New Roman"/>
          <w:b w:val="false"/>
          <w:i w:val="false"/>
          <w:color w:val="000000"/>
          <w:sz w:val="22"/>
        </w:rPr>
        <w:t>The identification tag will be attached to the human remains throughout the entire time the human remains are in the possession of the funeral establishment and will remain with the human remains.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481—900.4</w:t>
      </w:r>
      <w:r>
        <w:rPr>
          <w:rFonts w:ascii="Times New Roman" w:hAnsi="Times New Roman"/>
          <w:b/>
          <w:i w:val="false"/>
          <w:color w:val="000000"/>
          <w:sz w:val="22"/>
        </w:rPr>
        <w:t xml:space="preserve">(142,156) </w:t>
      </w:r>
      <w:r>
        <w:rPr>
          <w:rFonts w:ascii="Times New Roman" w:hAnsi="Times New Roman"/>
          <w:b/>
          <w:i w:val="false"/>
          <w:color w:val="000000"/>
          <w:sz w:val="22"/>
        </w:rPr>
        <w:t xml:space="preserve">Removal and transfer of human remains.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900.4(1)</w:t>
      </w:r>
      <w:r>
        <w:rPr>
          <w:rFonts w:ascii="Times New Roman" w:hAnsi="Times New Roman"/>
          <w:b w:val="false"/>
          <w:i w:val="false"/>
          <w:color w:val="000000"/>
          <w:sz w:val="22"/>
        </w:rPr>
        <w:t> </w:t>
      </w:r>
      <w:r>
        <w:rPr>
          <w:rFonts w:ascii="Times New Roman" w:hAnsi="Times New Roman"/>
          <w:b w:val="false"/>
          <w:i w:val="false"/>
          <w:color w:val="000000"/>
          <w:sz w:val="22"/>
        </w:rPr>
        <w:t>Removal and transfer of human remains. The funeral director will perform the following duties upon notification of a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Comply with jurisdictional authority, with respect to medicolegal responsibilities, regarding the removal of the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signature and license number when removing a human remains from a hospital, nursing establishment or any other institution involved with the care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900.4(2)</w:t>
      </w:r>
      <w:r>
        <w:rPr>
          <w:rFonts w:ascii="Times New Roman" w:hAnsi="Times New Roman"/>
          <w:b w:val="false"/>
          <w:i w:val="false"/>
          <w:color w:val="000000"/>
          <w:sz w:val="22"/>
        </w:rPr>
        <w:t> </w:t>
      </w:r>
      <w:r>
        <w:rPr>
          <w:rFonts w:ascii="Times New Roman" w:hAnsi="Times New Roman"/>
          <w:b w:val="false"/>
          <w:i w:val="false"/>
          <w:color w:val="000000"/>
          <w:sz w:val="22"/>
        </w:rPr>
        <w:t>After the funeral director has assumed custody of the human remains, the funeral director may delegate the task of transferring the human remains to an unlicensed employee, intern, or agent. Prior to transfer, the funeral director will topically disinfect the body, secure all body orifices to retain all secretions, place the human remains in a leakproof container for transfer that will control odor and prevent the leakage of body fluids, and issue a burial transit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900.4(3)</w:t>
      </w:r>
      <w:r>
        <w:rPr>
          <w:rFonts w:ascii="Times New Roman" w:hAnsi="Times New Roman"/>
          <w:b w:val="false"/>
          <w:i w:val="false"/>
          <w:color w:val="000000"/>
          <w:sz w:val="22"/>
        </w:rPr>
        <w:t> </w:t>
      </w:r>
      <w:r>
        <w:rPr>
          <w:rFonts w:ascii="Times New Roman" w:hAnsi="Times New Roman"/>
          <w:b w:val="false"/>
          <w:i w:val="false"/>
          <w:color w:val="000000"/>
          <w:sz w:val="22"/>
        </w:rPr>
        <w:t xml:space="preserve">A funeral director may delegate to a removal technician the removal and transportation of unembalmed human remains without first assuming custody, and without topically disinfecting or securing body orifices, if either of the following is true. The removal and transportation 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direction of the medical examiner;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or from the funeral establishment where the removal technician is registered.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0466D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481—900.5</w:t>
      </w:r>
      <w:r>
        <w:rPr>
          <w:rFonts w:ascii="Times New Roman" w:hAnsi="Times New Roman"/>
          <w:b/>
          <w:i w:val="false"/>
          <w:color w:val="000000"/>
          <w:sz w:val="22"/>
        </w:rPr>
        <w:t xml:space="preserve">(135,144) </w:t>
      </w:r>
      <w:r>
        <w:rPr>
          <w:rFonts w:ascii="Times New Roman" w:hAnsi="Times New Roman"/>
          <w:b/>
          <w:i w:val="false"/>
          <w:color w:val="000000"/>
          <w:sz w:val="22"/>
        </w:rPr>
        <w:t xml:space="preserve">Burial transit permits. </w:t>
      </w:r>
      <w:r>
        <w:rPr>
          <w:rFonts w:ascii="Times New Roman" w:hAnsi="Times New Roman"/>
          <w:b w:val="false"/>
          <w:i w:val="false"/>
          <w:color w:val="000000"/>
          <w:sz w:val="22"/>
        </w:rPr>
        <w:t>A licensed funeral director may issue a burial transit permit for the removal and transfer of human remains, according to state law and the administrative rules promulgated by the department of health and human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481—900.6</w:t>
      </w:r>
      <w:r>
        <w:rPr>
          <w:rFonts w:ascii="Times New Roman" w:hAnsi="Times New Roman"/>
          <w:b/>
          <w:i w:val="false"/>
          <w:color w:val="000000"/>
          <w:sz w:val="22"/>
        </w:rPr>
        <w:t xml:space="preserve">(156) </w:t>
      </w:r>
      <w:r>
        <w:rPr>
          <w:rFonts w:ascii="Times New Roman" w:hAnsi="Times New Roman"/>
          <w:b/>
          <w:i w:val="false"/>
          <w:color w:val="000000"/>
          <w:sz w:val="22"/>
        </w:rPr>
        <w:t xml:space="preserve">Preparation and embalming activities.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900.6(1)</w:t>
      </w:r>
      <w:r>
        <w:rPr>
          <w:rFonts w:ascii="Times New Roman" w:hAnsi="Times New Roman"/>
          <w:b w:val="false"/>
          <w:i w:val="false"/>
          <w:color w:val="000000"/>
          <w:sz w:val="22"/>
        </w:rPr>
        <w:t> </w:t>
      </w:r>
      <w:r>
        <w:rPr>
          <w:rFonts w:ascii="Times New Roman" w:hAnsi="Times New Roman"/>
          <w:b w:val="false"/>
          <w:i w:val="false"/>
          <w:color w:val="000000"/>
          <w:sz w:val="22"/>
        </w:rPr>
        <w:t>The funeral director will perform the following duties prior to and during embalming according to commonly accepted industry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Obtain authorization for embalming from an authorized person. If permission to embalm cannot be obtained from the authorized person, the funeral director may proceed with the embalming if necessary to comply with subrule </w:t>
      </w:r>
      <w:r>
        <w:rPr>
          <w:rFonts w:ascii="Times New Roman" w:hAnsi="Times New Roman"/>
          <w:b w:val="false"/>
          <w:i w:val="false"/>
          <w:color w:val="000000"/>
          <w:sz w:val="22"/>
        </w:rPr>
        <w:t>900.6(3)</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Embalm entirely in private. No one except the funeral director, intern, immediate family, or student will be allowed in the preparation room without the written permission of the authorized person. A student must be under the direct physical supervision of the funeral director and currently enrolled and attending a program of mortuary science that is recognized by the board to be allowed in the preparation room without written permission during the embalming.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Keep the human remains properly covered at all times.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Conduct a preembalming case analysis of the human remains. Recognize the potential chemical effects on the body and select the proper embalming chemicals based upon the analysis.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Position the human remains on the preparation table and pose the facial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Select points of drainage and injection, and raise the necessary vessels.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Embalm by arterial and cavity injection of embalming chemicals. If the condition of the human remains does not allow arterial and cavity injection of embalming chemicals, topical embalming, using appropriate chemicals and procedures, will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Evaluate the distribution of the embalming chemicals and perform treatment for discoloration, vascular difficulties, decomposition, dehydration, purge and close any incisions once the arterial and cavity injection of the embalming chemicals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900.6(2)</w:t>
      </w:r>
      <w:r>
        <w:rPr>
          <w:rFonts w:ascii="Times New Roman" w:hAnsi="Times New Roman"/>
          <w:b w:val="false"/>
          <w:i w:val="false"/>
          <w:color w:val="000000"/>
          <w:sz w:val="22"/>
        </w:rPr>
        <w:t> </w:t>
      </w:r>
      <w:r>
        <w:rPr>
          <w:rFonts w:ascii="Times New Roman" w:hAnsi="Times New Roman"/>
          <w:b w:val="false"/>
          <w:i w:val="false"/>
          <w:color w:val="000000"/>
          <w:sz w:val="22"/>
        </w:rPr>
        <w:t>Postembalming activities. The funeral director will perform the following duties at the conclusion of the embalming activities if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Pack or otherwise secure all body orifices with material that will absorb and retain all secretions.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Apply chemicals topically and perform hypodermic treatments.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Bathe, disinfect and reposition the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Clean and disinfect the embalming instruments, equipment and preparation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Perform any restorative treatments.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Select and apply the appropriate cosmetic treatments.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Prepare the human remains for viewing.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900.6(3)</w:t>
      </w:r>
      <w:r>
        <w:rPr>
          <w:rFonts w:ascii="Times New Roman" w:hAnsi="Times New Roman"/>
          <w:b w:val="false"/>
          <w:i w:val="false"/>
          <w:color w:val="000000"/>
          <w:sz w:val="22"/>
        </w:rPr>
        <w:t> </w:t>
      </w:r>
      <w:r>
        <w:rPr>
          <w:rFonts w:ascii="Times New Roman" w:hAnsi="Times New Roman"/>
          <w:b w:val="false"/>
          <w:i w:val="false"/>
          <w:color w:val="000000"/>
          <w:sz w:val="22"/>
        </w:rPr>
        <w:t>Care of the unembalmed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Embalming may be omitted provided that interment or cremation is performed within 72 hours after death or within 24 hours of taking custody if a human remains was previously in the custody of others, whichever is longer.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refrigeration is utilized, embalming or final disposition may be extended up to 72 hours longer than the maximum period provided in paragraph </w:t>
      </w:r>
      <w:r>
        <w:rPr>
          <w:rFonts w:ascii="Times New Roman" w:hAnsi="Times New Roman"/>
          <w:b w:val="false"/>
          <w:i w:val="false"/>
          <w:color w:val="000000"/>
          <w:sz w:val="22"/>
        </w:rPr>
        <w:t>100.6(3)</w:t>
      </w:r>
      <w:r>
        <w:rPr>
          <w:rFonts w:ascii="Times New Roman" w:hAnsi="Times New Roman"/>
          <w:b w:val="false"/>
          <w:i/>
          <w:color w:val="000000"/>
          <w:sz w:val="22"/>
        </w:rPr>
        <w:t>“a.”</w:t>
      </w:r>
      <w:r>
        <w:rPr>
          <w:rFonts w:ascii="Times New Roman" w:hAnsi="Times New Roman"/>
          <w:b w:val="false"/>
          <w:i w:val="false"/>
          <w:color w:val="000000"/>
          <w:sz w:val="22"/>
        </w:rPr>
        <w:t xml:space="preserve"> The body must be kept between 38 and 42 degrees Fahrenheit.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viewing of the unembalmed human remains is requested, the human remains will be topically disinfected and all body orifices will be packed or otherwise secured with material that will absorb and retain all secretions.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 death is attributed to a reportable communicable disease, embalming may be omitted provided that cremation is performed within 48 hours after death. In such cases, the human remains shall be immediately topically disinfected, shall be placed in a container that will control odor and prevent the leakage of body fluids and shall only be transported to the crematory by the funeral director or intern.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viewing of the unembalmed human remains is requested, the human remains shall be topically disinfected and all body orifices shall be packed or otherwise secured with material that will absorb and retain all secretions. No public viewing will be allowed of an unembalmed decedent who has died of a reportable communicable disease, but private viewing is permissible at the discretion of the funeral director.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0466D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481—900.7</w:t>
      </w:r>
      <w:r>
        <w:rPr>
          <w:rFonts w:ascii="Times New Roman" w:hAnsi="Times New Roman"/>
          <w:b/>
          <w:i w:val="false"/>
          <w:color w:val="000000"/>
          <w:sz w:val="22"/>
        </w:rPr>
        <w:t xml:space="preserve">(156) </w:t>
      </w:r>
      <w:r>
        <w:rPr>
          <w:rFonts w:ascii="Times New Roman" w:hAnsi="Times New Roman"/>
          <w:b/>
          <w:i w:val="false"/>
          <w:color w:val="000000"/>
          <w:sz w:val="22"/>
        </w:rPr>
        <w:t xml:space="preserve">Arranging and directing funeral and memorial ceremonies.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900.7(1)</w:t>
      </w:r>
      <w:r>
        <w:rPr>
          <w:rFonts w:ascii="Times New Roman" w:hAnsi="Times New Roman"/>
          <w:b w:val="false"/>
          <w:i w:val="false"/>
          <w:color w:val="000000"/>
          <w:sz w:val="22"/>
        </w:rPr>
        <w:t> </w:t>
      </w:r>
      <w:r>
        <w:rPr>
          <w:rFonts w:ascii="Times New Roman" w:hAnsi="Times New Roman"/>
          <w:b w:val="false"/>
          <w:i/>
          <w:color w:val="000000"/>
          <w:sz w:val="22"/>
        </w:rPr>
        <w:t xml:space="preserve">The Federal Trade Commission. </w:t>
      </w:r>
      <w:r>
        <w:rPr>
          <w:rFonts w:ascii="Times New Roman" w:hAnsi="Times New Roman"/>
          <w:b w:val="false"/>
          <w:i w:val="false"/>
          <w:color w:val="000000"/>
          <w:sz w:val="22"/>
        </w:rPr>
        <w:t>The funeral director will observe current guidelines of the Federal Trade Commission (FTC) funeral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900.7(2)</w:t>
      </w:r>
      <w:r>
        <w:rPr>
          <w:rFonts w:ascii="Times New Roman" w:hAnsi="Times New Roman"/>
          <w:b w:val="false"/>
          <w:i w:val="false"/>
          <w:color w:val="000000"/>
          <w:sz w:val="22"/>
        </w:rPr>
        <w:t> </w:t>
      </w:r>
      <w:r>
        <w:rPr>
          <w:rFonts w:ascii="Times New Roman" w:hAnsi="Times New Roman"/>
          <w:b w:val="false"/>
          <w:i/>
          <w:color w:val="000000"/>
          <w:sz w:val="22"/>
        </w:rPr>
        <w:t xml:space="preserve">Arrangement conference activities. </w:t>
      </w:r>
      <w:r>
        <w:rPr>
          <w:rFonts w:ascii="Times New Roman" w:hAnsi="Times New Roman"/>
          <w:b w:val="false"/>
          <w:i w:val="false"/>
          <w:color w:val="000000"/>
          <w:sz w:val="22"/>
        </w:rPr>
        <w:t>If responsible, the funeral director will perform the following duties associated with arranging ceremonies and the final disposition of a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Gather necessary statistical and biographical information relating to the decedent and explain the varied use of the information gathered.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Present, discuss and explain the mandated FTC price lists and assist or provide the consumer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types of ceremony or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specific goods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prices of any goods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written, itemized statement of the funeral goods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general price list.</w:t>
      </w:r>
    </w:p>
    <w:p>
      <w:pPr>
        <w:spacing w:before="0" w:after="0"/>
        <w:ind w:left="120"/>
        <w:jc w:val="both"/>
      </w:pPr>
      <w:r>
        <w:rPr>
          <w:rFonts w:ascii="Times New Roman" w:hAnsi="Times New Roman"/>
          <w:b w:val="false"/>
          <w:i w:val="false"/>
          <w:color w:val="000000"/>
          <w:sz w:val="22"/>
        </w:rPr>
        <w:t>At the conclusion of arrangements, the itemized statement will be signed by the purchaser and the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900.7(3)</w:t>
      </w:r>
      <w:r>
        <w:rPr>
          <w:rFonts w:ascii="Times New Roman" w:hAnsi="Times New Roman"/>
          <w:b w:val="false"/>
          <w:i w:val="false"/>
          <w:color w:val="000000"/>
          <w:sz w:val="22"/>
        </w:rPr>
        <w:t> </w:t>
      </w:r>
      <w:r>
        <w:rPr>
          <w:rFonts w:ascii="Times New Roman" w:hAnsi="Times New Roman"/>
          <w:b w:val="false"/>
          <w:i/>
          <w:color w:val="000000"/>
          <w:sz w:val="22"/>
        </w:rPr>
        <w:t xml:space="preserve">Directing of funeral and memorial ceremonies. </w:t>
      </w:r>
      <w:r>
        <w:rPr>
          <w:rFonts w:ascii="Times New Roman" w:hAnsi="Times New Roman"/>
          <w:b w:val="false"/>
          <w:i w:val="false"/>
          <w:color w:val="000000"/>
          <w:sz w:val="22"/>
        </w:rPr>
        <w:t>If responsible, the funeral director will perform the following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Direct and supervise ceremonies.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Direct and supervise final disposition.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481—900.8</w:t>
      </w:r>
      <w:r>
        <w:rPr>
          <w:rFonts w:ascii="Times New Roman" w:hAnsi="Times New Roman"/>
          <w:b/>
          <w:i w:val="false"/>
          <w:color w:val="000000"/>
          <w:sz w:val="22"/>
        </w:rPr>
        <w:t xml:space="preserve">(142,156) </w:t>
      </w:r>
      <w:r>
        <w:rPr>
          <w:rFonts w:ascii="Times New Roman" w:hAnsi="Times New Roman"/>
          <w:b/>
          <w:i w:val="false"/>
          <w:color w:val="000000"/>
          <w:sz w:val="22"/>
        </w:rPr>
        <w:t xml:space="preserve">Unclaimed human remains for scientific use.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900.8(1)</w:t>
      </w:r>
      <w:r>
        <w:rPr>
          <w:rFonts w:ascii="Times New Roman" w:hAnsi="Times New Roman"/>
          <w:b w:val="false"/>
          <w:i w:val="false"/>
          <w:color w:val="000000"/>
          <w:sz w:val="22"/>
        </w:rPr>
        <w:t> </w:t>
      </w:r>
      <w:r>
        <w:rPr>
          <w:rFonts w:ascii="Times New Roman" w:hAnsi="Times New Roman"/>
          <w:b w:val="false"/>
          <w:i w:val="false"/>
          <w:color w:val="000000"/>
          <w:sz w:val="22"/>
        </w:rPr>
        <w:t>A human remains is unclaimed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decedent did not express a desire to be interred, entombed or cremated.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Relatives or friends of the decedent did not request that the decedent’s human remains be interred, entombed or cremated.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900.8(2)</w:t>
      </w:r>
      <w:r>
        <w:rPr>
          <w:rFonts w:ascii="Times New Roman" w:hAnsi="Times New Roman"/>
          <w:b w:val="false"/>
          <w:i w:val="false"/>
          <w:color w:val="000000"/>
          <w:sz w:val="22"/>
        </w:rPr>
        <w:t> </w:t>
      </w:r>
      <w:r>
        <w:rPr>
          <w:rFonts w:ascii="Times New Roman" w:hAnsi="Times New Roman"/>
          <w:b w:val="false"/>
          <w:i w:val="false"/>
          <w:color w:val="000000"/>
          <w:sz w:val="22"/>
        </w:rPr>
        <w:t>Friend distinguished from casual acquaintance. A friend will be distinguished from a casual acquaintance by the friend’s having been closely associated with the decedent during the decedent’s lifetime.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900.8(3)</w:t>
      </w:r>
      <w:r>
        <w:rPr>
          <w:rFonts w:ascii="Times New Roman" w:hAnsi="Times New Roman"/>
          <w:b w:val="false"/>
          <w:i w:val="false"/>
          <w:color w:val="000000"/>
          <w:sz w:val="22"/>
        </w:rPr>
        <w:t> </w:t>
      </w:r>
      <w:r>
        <w:rPr>
          <w:rFonts w:ascii="Times New Roman" w:hAnsi="Times New Roman"/>
          <w:b w:val="false"/>
          <w:i w:val="false"/>
          <w:color w:val="000000"/>
          <w:sz w:val="22"/>
        </w:rPr>
        <w:t>Delivery of human remains for scientific purposes. The funeral director, the medical examiner or managing officer of a public health institution, hospital, county home, penitentiary or reformatory will notify the department of health and human services as soon as any unclaimed human remains that may be suitable for scientific purposes will come into the person’s custody.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900.8(4)</w:t>
      </w:r>
      <w:r>
        <w:rPr>
          <w:rFonts w:ascii="Times New Roman" w:hAnsi="Times New Roman"/>
          <w:b w:val="false"/>
          <w:i w:val="false"/>
          <w:color w:val="000000"/>
          <w:sz w:val="22"/>
        </w:rPr>
        <w:t> </w:t>
      </w:r>
      <w:r>
        <w:rPr>
          <w:rFonts w:ascii="Times New Roman" w:hAnsi="Times New Roman"/>
          <w:b w:val="false"/>
          <w:i w:val="false"/>
          <w:color w:val="000000"/>
          <w:sz w:val="22"/>
        </w:rPr>
        <w:t>Department instructions. When the department of health and human services receives notice, the funeral director will be instructed as to the proper disposition of a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900.8(5)</w:t>
      </w:r>
      <w:r>
        <w:rPr>
          <w:rFonts w:ascii="Times New Roman" w:hAnsi="Times New Roman"/>
          <w:b w:val="false"/>
          <w:i w:val="false"/>
          <w:color w:val="000000"/>
          <w:sz w:val="22"/>
        </w:rPr>
        <w:t> </w:t>
      </w:r>
      <w:r>
        <w:rPr>
          <w:rFonts w:ascii="Times New Roman" w:hAnsi="Times New Roman"/>
          <w:b w:val="false"/>
          <w:i w:val="false"/>
          <w:color w:val="000000"/>
          <w:sz w:val="22"/>
        </w:rPr>
        <w:t>Expenses incurred by funeral director. The expenses incurred by the funeral director for the transportation of a human remains to a medical college will be paid by the medical college receiving the human remains.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481—900.9</w:t>
      </w:r>
      <w:r>
        <w:rPr>
          <w:rFonts w:ascii="Times New Roman" w:hAnsi="Times New Roman"/>
          <w:b/>
          <w:i w:val="false"/>
          <w:color w:val="000000"/>
          <w:sz w:val="22"/>
        </w:rPr>
        <w:t xml:space="preserve">(144) </w:t>
      </w:r>
      <w:r>
        <w:rPr>
          <w:rFonts w:ascii="Times New Roman" w:hAnsi="Times New Roman"/>
          <w:b/>
          <w:i w:val="false"/>
          <w:color w:val="000000"/>
          <w:sz w:val="22"/>
        </w:rPr>
        <w:t xml:space="preserve">Disinterments. </w:t>
      </w:r>
      <w:r>
        <w:rPr>
          <w:rFonts w:ascii="Times New Roman" w:hAnsi="Times New Roman"/>
          <w:b w:val="false"/>
          <w:i w:val="false"/>
          <w:color w:val="000000"/>
          <w:sz w:val="22"/>
        </w:rPr>
        <w:t>A funeral director in charge of a disinterment will ensure that the disinterment is performed in accordance with rules promulgated by the department of health and human services and will first secure a disinterment permit issued by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900.9(1)</w:t>
      </w:r>
      <w:r>
        <w:rPr>
          <w:rFonts w:ascii="Times New Roman" w:hAnsi="Times New Roman"/>
          <w:b w:val="false"/>
          <w:i w:val="false"/>
          <w:color w:val="000000"/>
          <w:sz w:val="22"/>
        </w:rPr>
        <w:t> </w:t>
      </w:r>
      <w:r>
        <w:rPr>
          <w:rFonts w:ascii="Times New Roman" w:hAnsi="Times New Roman"/>
          <w:b w:val="false"/>
          <w:i w:val="false"/>
          <w:color w:val="000000"/>
          <w:sz w:val="22"/>
        </w:rPr>
        <w:t>No person will disinter a human remains or cremated remains unless the funeral director in charge of the disinterment has a numbered disinterment permit that has been issued by the department of health and human services or by an order of the district court of the county in which the human remains or cremated remains are interred or entombed.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900.9(2)</w:t>
      </w:r>
      <w:r>
        <w:rPr>
          <w:rFonts w:ascii="Times New Roman" w:hAnsi="Times New Roman"/>
          <w:b w:val="false"/>
          <w:i w:val="false"/>
          <w:color w:val="000000"/>
          <w:sz w:val="22"/>
        </w:rPr>
        <w:t> </w:t>
      </w:r>
      <w:r>
        <w:rPr>
          <w:rFonts w:ascii="Times New Roman" w:hAnsi="Times New Roman"/>
          <w:b w:val="false"/>
          <w:i w:val="false"/>
          <w:color w:val="000000"/>
          <w:sz w:val="22"/>
        </w:rPr>
        <w:t>All disinterment permits will be requested and provided by the department of health and human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900.9(3)</w:t>
      </w:r>
      <w:r>
        <w:rPr>
          <w:rFonts w:ascii="Times New Roman" w:hAnsi="Times New Roman"/>
          <w:b w:val="false"/>
          <w:i w:val="false"/>
          <w:color w:val="000000"/>
          <w:sz w:val="22"/>
        </w:rPr>
        <w:t> </w:t>
      </w:r>
      <w:r>
        <w:rPr>
          <w:rFonts w:ascii="Times New Roman" w:hAnsi="Times New Roman"/>
          <w:b w:val="false"/>
          <w:i w:val="false"/>
          <w:color w:val="000000"/>
          <w:sz w:val="22"/>
        </w:rPr>
        <w:t>All disinterment permits will be signed by the authorizing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900.9(4)</w:t>
      </w:r>
      <w:r>
        <w:rPr>
          <w:rFonts w:ascii="Times New Roman" w:hAnsi="Times New Roman"/>
          <w:b w:val="false"/>
          <w:i w:val="false"/>
          <w:color w:val="000000"/>
          <w:sz w:val="22"/>
        </w:rPr>
        <w:t> </w:t>
      </w:r>
      <w:r>
        <w:rPr>
          <w:rFonts w:ascii="Times New Roman" w:hAnsi="Times New Roman"/>
          <w:b w:val="false"/>
          <w:i w:val="false"/>
          <w:color w:val="000000"/>
          <w:sz w:val="22"/>
        </w:rPr>
        <w:t>Disinterment permits will be furnished upon request from the department of health and human services and will remain valid for 30 days after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900.9(5)</w:t>
      </w:r>
      <w:r>
        <w:rPr>
          <w:rFonts w:ascii="Times New Roman" w:hAnsi="Times New Roman"/>
          <w:b w:val="false"/>
          <w:i w:val="false"/>
          <w:color w:val="000000"/>
          <w:sz w:val="22"/>
        </w:rPr>
        <w:t> </w:t>
      </w:r>
      <w:r>
        <w:rPr>
          <w:rFonts w:ascii="Times New Roman" w:hAnsi="Times New Roman"/>
          <w:b w:val="false"/>
          <w:i w:val="false"/>
          <w:color w:val="000000"/>
          <w:sz w:val="22"/>
        </w:rPr>
        <w:t>Disinterment permits will only be issued to the funeral director, and the disinterment must be done under the direct supervision of the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900.9(6)</w:t>
      </w:r>
      <w:r>
        <w:rPr>
          <w:rFonts w:ascii="Times New Roman" w:hAnsi="Times New Roman"/>
          <w:b w:val="false"/>
          <w:i w:val="false"/>
          <w:color w:val="000000"/>
          <w:sz w:val="22"/>
        </w:rPr>
        <w:t> </w:t>
      </w:r>
      <w:r>
        <w:rPr>
          <w:rFonts w:ascii="Times New Roman" w:hAnsi="Times New Roman"/>
          <w:b w:val="false"/>
          <w:i w:val="false"/>
          <w:color w:val="000000"/>
          <w:sz w:val="22"/>
        </w:rPr>
        <w:t>Disinterment permits will be required for any relocation of a human remains from the original site of interment or entombment if the purpose is for autopsy or reburial.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900.9(7)</w:t>
      </w:r>
      <w:r>
        <w:rPr>
          <w:rFonts w:ascii="Times New Roman" w:hAnsi="Times New Roman"/>
          <w:b w:val="false"/>
          <w:i w:val="false"/>
          <w:color w:val="000000"/>
          <w:sz w:val="22"/>
        </w:rPr>
        <w:t> </w:t>
      </w:r>
      <w:r>
        <w:rPr>
          <w:rFonts w:ascii="Times New Roman" w:hAnsi="Times New Roman"/>
          <w:b w:val="false"/>
          <w:i w:val="false"/>
          <w:color w:val="000000"/>
          <w:sz w:val="22"/>
        </w:rPr>
        <w:t>No disinterment permit is necessary to remove a human remains or cremated remains from a holding facility for interment or entombment in the same cemetery where being temporarily 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900.9(8)</w:t>
      </w:r>
      <w:r>
        <w:rPr>
          <w:rFonts w:ascii="Times New Roman" w:hAnsi="Times New Roman"/>
          <w:b w:val="false"/>
          <w:i w:val="false"/>
          <w:color w:val="000000"/>
          <w:sz w:val="22"/>
        </w:rPr>
        <w:t> </w:t>
      </w:r>
      <w:r>
        <w:rPr>
          <w:rFonts w:ascii="Times New Roman" w:hAnsi="Times New Roman"/>
          <w:b w:val="false"/>
          <w:i w:val="false"/>
          <w:color w:val="000000"/>
          <w:sz w:val="22"/>
        </w:rPr>
        <w:t>A funeral director may await a court order before proceeding with disinterment if the funeral director is aware of a dispute among: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are members of the same class of persons described in </w:t>
      </w:r>
      <w:hyperlink r:id="rId15">
        <w:r>
          <w:rPr>
            <w:rStyle w:val="Hyperlink"/>
            <w:rFonts w:ascii="Times New Roman" w:hAnsi="Times New Roman"/>
            <w:b w:val="false"/>
            <w:i w:val="false"/>
            <w:color w:val="000000"/>
            <w:sz w:val="22"/>
          </w:rPr>
          <w:t>641—subrule 97.14(4)</w:t>
        </w:r>
      </w:hyperlink>
      <w:r>
        <w:rPr>
          <w:rFonts w:ascii="Times New Roman" w:hAnsi="Times New Roman"/>
          <w:b w:val="false"/>
          <w:i w:val="false"/>
          <w:color w:val="000000"/>
          <w:sz w:val="22"/>
        </w:rPr>
        <w:t xml:space="preserve"> as having authority to control the human remains;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Persons who are authorized pursuant to </w:t>
      </w:r>
      <w:hyperlink r:id="rId16">
        <w:r>
          <w:rPr>
            <w:rStyle w:val="Hyperlink"/>
            <w:rFonts w:ascii="Times New Roman" w:hAnsi="Times New Roman"/>
            <w:b w:val="false"/>
            <w:i w:val="false"/>
            <w:color w:val="000000"/>
            <w:sz w:val="22"/>
          </w:rPr>
          <w:t>641—subrule 97.14(4)</w:t>
        </w:r>
      </w:hyperlink>
      <w:r>
        <w:rPr>
          <w:rFonts w:ascii="Times New Roman" w:hAnsi="Times New Roman"/>
          <w:b w:val="false"/>
          <w:i w:val="false"/>
          <w:color w:val="000000"/>
          <w:sz w:val="22"/>
        </w:rPr>
        <w:t xml:space="preserve"> and the executor named in the decedent’s will or personal representative appointed by the court.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481—900.10</w:t>
      </w:r>
      <w:r>
        <w:rPr>
          <w:rFonts w:ascii="Times New Roman" w:hAnsi="Times New Roman"/>
          <w:b/>
          <w:i w:val="false"/>
          <w:color w:val="000000"/>
          <w:sz w:val="22"/>
        </w:rPr>
        <w:t xml:space="preserve">(156) </w:t>
      </w:r>
      <w:r>
        <w:rPr>
          <w:rFonts w:ascii="Times New Roman" w:hAnsi="Times New Roman"/>
          <w:b/>
          <w:i w:val="false"/>
          <w:color w:val="000000"/>
          <w:sz w:val="22"/>
        </w:rPr>
        <w:t xml:space="preserve">Cremation of human remains.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900.10(1)</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Delivery receipt.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a human remains is delivered to a cremation establishment, the cremation establishment will furnish to the delivery person a delivery receipt containing: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age, gender, and cause of death of the decedent whose human remains are delivered to the cremation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time of delivery and the type of container that contains the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applicable, the name of the funeral director who sent the human remains and the name and license number of the funeral director’s associated funeral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who delivered the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receiving the human remains on behalf of the cremation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and business address of the cremation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cremation establishment will retain a copy of the delivery receipt in its permanent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Receiving receipt.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cremation establishment will furnish to any person who receives the cremated remains from the cremation establishment a receiving receipt containing: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of the decedent whose cremated remains are released from the cremation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and time when the cremated remains were released from the cremation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to whom the cremated remains are released and the name and license number of the funeral establishment, cemetery, family or other person or entity with which that person is affiliated.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who receives the cremated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who released the cremated remains on behalf of the cremation establishment.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of the cremation establishment operator and the date and time of the cremation.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cremation establishment will retain a copy of the receiving receipt in its permanent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Permanent record. </w:t>
      </w:r>
      <w:r>
        <w:rPr>
          <w:rFonts w:ascii="Times New Roman" w:hAnsi="Times New Roman"/>
          <w:b w:val="false"/>
          <w:i w:val="false"/>
          <w:color w:val="000000"/>
          <w:sz w:val="22"/>
        </w:rPr>
        <w:t>A cremation establishment will maintain at its place of business a permanent record that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of the deceased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and time of the cremation.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Copies of the delivery receipt and the receiving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Disposition of the cremated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Cremation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Cremation permit if required in the jurisdiction of death.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900.10(2)</w:t>
      </w:r>
      <w:r>
        <w:rPr>
          <w:rFonts w:ascii="Times New Roman" w:hAnsi="Times New Roman"/>
          <w:b w:val="false"/>
          <w:i w:val="false"/>
          <w:color w:val="000000"/>
          <w:sz w:val="22"/>
        </w:rPr>
        <w:t> </w:t>
      </w:r>
      <w:r>
        <w:rPr>
          <w:rFonts w:ascii="Times New Roman" w:hAnsi="Times New Roman"/>
          <w:b w:val="false"/>
          <w:i/>
          <w:color w:val="000000"/>
          <w:sz w:val="22"/>
        </w:rPr>
        <w:t xml:space="preserve">Employment of a funeral director by a cremation establishment. </w:t>
      </w:r>
      <w:r>
        <w:rPr>
          <w:rFonts w:ascii="Times New Roman" w:hAnsi="Times New Roman"/>
          <w:b w:val="false"/>
          <w:i w:val="false"/>
          <w:color w:val="000000"/>
          <w:sz w:val="22"/>
        </w:rPr>
        <w:t>No aspect of these rules will be construed to require a funeral director to supervise or perform any functions at a cremation establishment not otherwise required by law to be performed by a funeral director. The cremation establishment will contract only with a licensed funeral establishment and will not contract directly with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900.10(3)</w:t>
      </w:r>
      <w:r>
        <w:rPr>
          <w:rFonts w:ascii="Times New Roman" w:hAnsi="Times New Roman"/>
          <w:b w:val="false"/>
          <w:i w:val="false"/>
          <w:color w:val="000000"/>
          <w:sz w:val="22"/>
        </w:rPr>
        <w:t> </w:t>
      </w:r>
      <w:r>
        <w:rPr>
          <w:rFonts w:ascii="Times New Roman" w:hAnsi="Times New Roman"/>
          <w:b w:val="false"/>
          <w:i/>
          <w:color w:val="000000"/>
          <w:sz w:val="22"/>
        </w:rPr>
        <w:t xml:space="preserve">Authorizing person and preneed cremation arrangements. </w:t>
      </w:r>
      <w:r>
        <w:rPr>
          <w:rFonts w:ascii="Times New Roman" w:hAnsi="Times New Roman"/>
          <w:b w:val="false"/>
          <w:i w:val="false"/>
          <w:color w:val="000000"/>
          <w:sz w:val="22"/>
        </w:rPr>
        <w:t>The authorized person has legal authority and may make decisions regarding the final disposition of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900.10(4)</w:t>
      </w:r>
      <w:r>
        <w:rPr>
          <w:rFonts w:ascii="Times New Roman" w:hAnsi="Times New Roman"/>
          <w:b w:val="false"/>
          <w:i w:val="false"/>
          <w:color w:val="000000"/>
          <w:sz w:val="22"/>
        </w:rPr>
        <w:t> </w:t>
      </w:r>
      <w:r>
        <w:rPr>
          <w:rFonts w:ascii="Times New Roman" w:hAnsi="Times New Roman"/>
          <w:b w:val="false"/>
          <w:i/>
          <w:color w:val="000000"/>
          <w:sz w:val="22"/>
        </w:rPr>
        <w:t xml:space="preserve">Authorization to cremate.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cremation establishment will have the authority to cremate human remains upon the receipt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Cremation authorization form signed by the authorized person. The cremation authorization form will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age and gender of the decedent whose human remains are to be cremated.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date, time of death and cause of death of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name and license number of the funeral establishment and of the funeral director who obtained the cremation authorization form signed by the authorized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signature of the funeral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cremation establishment authorized to cremate a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name and signature of the authorized person granting permission to cremate the human remains and the authorized person’s relationship to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representation that the authorized person has the right to authorize the cremation of the decedent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representation that in the event there is another person who has superior priority right to that of the authorized person, the authorized person has made all reasonable efforts to contact that person and has no reason to believe that the person would object to the cremation of the decedent.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representation that a human remains does not contain any material or implants that may be potentially hazardous to equipment or persons performing the cremation.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 representation that the authorized person has made a positive identification of the decedent or, if the authorized person is unavailable or declines, there are alternative means of positive identification.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name of the person, funeral establishment or funeral establishment’s designee to which the cremated remains are to be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manner of the final disposition of the cremated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listing of all items of value and instructions for their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cremation permit if required in the jurisdiction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other documentation required by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the authorized person is not available to execute the cremation authorization form in person, the funeral director may accept written authorization by facsimile, email, or such alternative written or electronic means the funeral director reasonably believes to be reliable and credible.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authorized person may revoke the authorization and instruct the funeral director or funeral establishment to cancel the cremation. The cremation establishment will honor any instructions from a funeral director or funeral establishment under this rule if the cremation establishment receives instructions prior to beginning the cremation.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900.10(5)</w:t>
      </w:r>
      <w:r>
        <w:rPr>
          <w:rFonts w:ascii="Times New Roman" w:hAnsi="Times New Roman"/>
          <w:b w:val="false"/>
          <w:i w:val="false"/>
          <w:color w:val="000000"/>
          <w:sz w:val="22"/>
        </w:rPr>
        <w:t> </w:t>
      </w:r>
      <w:r>
        <w:rPr>
          <w:rFonts w:ascii="Times New Roman" w:hAnsi="Times New Roman"/>
          <w:b w:val="false"/>
          <w:i/>
          <w:color w:val="000000"/>
          <w:sz w:val="22"/>
        </w:rPr>
        <w:t xml:space="preserve">Cremation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cremation establishment will cremate human remains within 24 hours of issuance of the delivery receipt as defined in subrule </w:t>
      </w:r>
      <w:r>
        <w:rPr>
          <w:rFonts w:ascii="Times New Roman" w:hAnsi="Times New Roman"/>
          <w:b w:val="false"/>
          <w:i w:val="false"/>
          <w:color w:val="000000"/>
          <w:sz w:val="22"/>
        </w:rPr>
        <w:t>900.10(1)</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cremation establishment will cremate human remains when it has actual knowledge that the human remains contain a pacemaker or have any other implants or materials that will present a health hazard to those performing the cremation and processing and pulverizing the cremated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 cremation establishment will refuse to accept human remains for cremation because such human remains are not embalmed.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Whenever a cremation establishment is unable or unauthorized to cremate human remains immediately upon taking custody of the remains, the cremation establishment will place the human remains in a holding facility in accordance with the cremation establishment rules and regulations and within the parameters of rules </w:t>
      </w:r>
      <w:hyperlink r:id="rId17">
        <w:r>
          <w:rPr>
            <w:rStyle w:val="Hyperlink"/>
            <w:rFonts w:ascii="Times New Roman" w:hAnsi="Times New Roman"/>
            <w:b w:val="false"/>
            <w:i w:val="false"/>
            <w:color w:val="000000"/>
            <w:sz w:val="22"/>
          </w:rPr>
          <w:t>481—900.5</w:t>
        </w:r>
      </w:hyperlink>
      <w:r>
        <w:rPr>
          <w:rFonts w:ascii="Times New Roman" w:hAnsi="Times New Roman"/>
          <w:b w:val="false"/>
          <w:i w:val="false"/>
          <w:color w:val="000000"/>
          <w:sz w:val="22"/>
        </w:rPr>
        <w:t xml:space="preserve">(135,144) and </w:t>
      </w:r>
      <w:hyperlink r:id="rId18">
        <w:r>
          <w:rPr>
            <w:rStyle w:val="Hyperlink"/>
            <w:rFonts w:ascii="Times New Roman" w:hAnsi="Times New Roman"/>
            <w:b w:val="false"/>
            <w:i w:val="false"/>
            <w:color w:val="000000"/>
            <w:sz w:val="22"/>
          </w:rPr>
          <w:t>481—900.6</w:t>
        </w:r>
      </w:hyperlink>
      <w:r>
        <w:rPr>
          <w:rFonts w:ascii="Times New Roman" w:hAnsi="Times New Roman"/>
          <w:b w:val="false"/>
          <w:i w:val="false"/>
          <w:color w:val="000000"/>
          <w:sz w:val="22"/>
        </w:rPr>
        <w:t>(156).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No cremation establishment will accept human remains unless they are delivered to the cremation establishment in a container that prevents the leakage of body fluids.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Under no circumstances will an alternative container or casket be opened at the cremation establishment except to facilitate proper cremation.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container in which a human remains is delivered to the cremation establishment will be cremated with the human remains or safely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simultaneous cremation of the human remains of more than one person within the same cremation chamber, without the prior written consent of the authorized person, is prohibited. Nothing in this rule, however, will prevent the simultaneous cremation within the same cremation chamber of body parts delivered to the cremation establishment from multiple sources, or the use of cremation equipment that contains more than one cremation chamber.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No unauthorized person will be permitted in the holding facility or cremation room while any human remains are being held there awaiting cremation, being cremated, or being removed from the cremation chamber.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 cremation establishment will not allow removal of any dental gold, body parts, organs, or any item of value prior to or subsequent to a cremation without previously having received specific written authorization from the authorized person and written instructions for the delivery of these items to the authorized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Upon the completion of each cremation, and insofar as is practicable, all of the recoverable residue of the cremation process will be removed from the cremation chamber.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If all of the recovered cremated remains will not fit within the receptacle that has been selected, the remainder of the cremated remains will be returned to the authorized person or this person’s designee in a separate container. The cremation establishment will not return to an authorized person or this person’s designee more or less cremated remains than were removed from the cremation chamber.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A cremation establishment will not knowingly represent to an authorized person or this person’s designee that a temporary cremation container or urn contains the cremated remains of a specific decedent when it does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Cremated remains will be shipped only by a method that has an internal tracing system available and that provides a receipt signed by the person accepting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A cremation establishment will maintain an identification system that will ensure the identity of human remains in the cremation establishment’s possession throughout all phases of the cremation process. A noncombustible tag or disc that includes the name and license number of the cremation establishment and the city and state where the cremation establishment is located will be attached to the plastic bag with the cremated remains or placed in amongst the cremated remains.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900.10(6)</w:t>
      </w:r>
      <w:r>
        <w:rPr>
          <w:rFonts w:ascii="Times New Roman" w:hAnsi="Times New Roman"/>
          <w:b w:val="false"/>
          <w:i w:val="false"/>
          <w:color w:val="000000"/>
          <w:sz w:val="22"/>
        </w:rPr>
        <w:t> </w:t>
      </w:r>
      <w:r>
        <w:rPr>
          <w:rFonts w:ascii="Times New Roman" w:hAnsi="Times New Roman"/>
          <w:b w:val="false"/>
          <w:i/>
          <w:color w:val="000000"/>
          <w:sz w:val="22"/>
        </w:rPr>
        <w:t xml:space="preserve">Disposition of cremated remains. </w:t>
      </w:r>
      <w:r>
        <w:rPr>
          <w:rFonts w:ascii="Times New Roman" w:hAnsi="Times New Roman"/>
          <w:b w:val="false"/>
          <w:i w:val="false"/>
          <w:color w:val="000000"/>
          <w:sz w:val="22"/>
        </w:rPr>
        <w:t>If responsible, the funeral director will supervise the final disposition of the cremated remains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Cremated remains may be disposed of by placing them in a grave, crypt, or niche or by scattering them in a scattering area as defined in these rules, or they may remain in the personal care and custody of the authorized person. After supervising the transfer of cremated remains to the authorized person or place of final disposition, the funeral director will be discharged.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Upon the completion of the cremation process, the cremation establishment will release the cremated remains to the funeral establishment or the authorized person or the authorized person’s designee. Upon the receipt of the cremated remains, the individual receiving them may transport them in any manner in this state without a burial transit permit and may dispose of them in accordance with this rule. After releasing the cremated remains, the cremation establishment will be discharged from any legal obligation or liability concerning the cremated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after a period of 60 days from the date of the cremation, the authorizing person or designee has not instructed the funeral director to arrange for the final disposition of the cremated remains, the funeral director may dispose of the cremated remains in any manner permitted by this rule. The funeral establishment, however, will keep a permanent record identifying the site of final disposition. The authorizing person will be responsible for reimbursing the funeral establishment for all reasonable expenses incurred in disposing of the cremated remains. Any entity that was in possession of cremated remains prior to May 22, 2024, may dispose of them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Except with the express written permission of the authorizing person, no funeral director or cremation establishment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Dispose of cremated remains in a manner or in a location so that the cremated remains are commingled with those of another person. This prohibition will not apply to the scattering of cremated remains in an area located in a cemetery and used exclusively for those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Place cremated remains of more than one person in the same temporary cremation container or urn.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900.10(7)</w:t>
      </w:r>
      <w:r>
        <w:rPr>
          <w:rFonts w:ascii="Times New Roman" w:hAnsi="Times New Roman"/>
          <w:b w:val="false"/>
          <w:i w:val="false"/>
          <w:color w:val="000000"/>
          <w:sz w:val="22"/>
        </w:rPr>
        <w:t> </w:t>
      </w:r>
      <w:r>
        <w:rPr>
          <w:rFonts w:ascii="Times New Roman" w:hAnsi="Times New Roman"/>
          <w:b w:val="false"/>
          <w:i/>
          <w:color w:val="000000"/>
          <w:sz w:val="22"/>
        </w:rPr>
        <w:t xml:space="preserve">Scope of rules. </w:t>
      </w:r>
      <w:r>
        <w:rPr>
          <w:rFonts w:ascii="Times New Roman" w:hAnsi="Times New Roman"/>
          <w:b w:val="false"/>
          <w:i w:val="false"/>
          <w:color w:val="000000"/>
          <w:sz w:val="22"/>
        </w:rPr>
        <w:t>These rules will be construed and interpreted as a comprehensive cremation statute, and the provisions of these rules will take precedence over any existing laws containing provisions applicable to cremation, but that do not specifically or comprehensively address cremation.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481—900.11</w:t>
      </w:r>
      <w:r>
        <w:rPr>
          <w:rFonts w:ascii="Times New Roman" w:hAnsi="Times New Roman"/>
          <w:b/>
          <w:i w:val="false"/>
          <w:color w:val="000000"/>
          <w:sz w:val="22"/>
        </w:rPr>
        <w:t xml:space="preserve">(156) </w:t>
      </w:r>
      <w:r>
        <w:rPr>
          <w:rFonts w:ascii="Times New Roman" w:hAnsi="Times New Roman"/>
          <w:b/>
          <w:i w:val="false"/>
          <w:color w:val="000000"/>
          <w:sz w:val="22"/>
        </w:rPr>
        <w:t xml:space="preserve">Records to be retained by a funeral establishment. </w:t>
      </w:r>
      <w:r>
        <w:rPr>
          <w:rFonts w:ascii="Times New Roman" w:hAnsi="Times New Roman"/>
          <w:b w:val="false"/>
          <w:i w:val="false"/>
          <w:color w:val="000000"/>
          <w:sz w:val="22"/>
        </w:rPr>
        <w:t xml:space="preserve">To ensure a permanent record of the licensed activity relating to the custody of each decedent, each funeral director will create and the funeral establishment will maintain the records identified in this rule. If a registered intern or registered removal technician first takes custody of a decedent, the funeral director from whom they were delegated that authority is responsible for compliance with the rules in this chapter. Funeral directors and funeral establishments will comply with the rules adopted by the department of health and human services under Iowa Code section </w:t>
      </w:r>
      <w:hyperlink r:id="rId19">
        <w:r>
          <w:rPr>
            <w:rStyle w:val="Hyperlink"/>
            <w:rFonts w:ascii="Times New Roman" w:hAnsi="Times New Roman"/>
            <w:b w:val="false"/>
            <w:i w:val="false"/>
            <w:color w:val="000000"/>
            <w:sz w:val="22"/>
          </w:rPr>
          <w:t>144.49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900.11(1)</w:t>
      </w:r>
      <w:r>
        <w:rPr>
          <w:rFonts w:ascii="Times New Roman" w:hAnsi="Times New Roman"/>
          <w:b w:val="false"/>
          <w:i w:val="false"/>
          <w:color w:val="000000"/>
          <w:sz w:val="22"/>
        </w:rPr>
        <w:t> </w:t>
      </w:r>
      <w:r>
        <w:rPr>
          <w:rFonts w:ascii="Times New Roman" w:hAnsi="Times New Roman"/>
          <w:b w:val="false"/>
          <w:i w:val="false"/>
          <w:color w:val="000000"/>
          <w:sz w:val="22"/>
        </w:rPr>
        <w:t>At a minimum, the following information, if applicable, relating to each human remains that enters the custody of the establishment/licensee will be maintained as the permanent record of licensed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the deceased;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Date, time, and place of death (institution or other place, city, state, zip);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Name and address of the person or funeral establishment to whom a human remains is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and from whom the funeral director assumed custody, including the name of the institution or other place of death releasing a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Date, time, and name of the licensed funeral director or registered intern completing embalming or other preparation for final disposition;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Date, place and method of final disposition of a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900.11(2)</w:t>
      </w:r>
      <w:r>
        <w:rPr>
          <w:rFonts w:ascii="Times New Roman" w:hAnsi="Times New Roman"/>
          <w:b w:val="false"/>
          <w:i w:val="false"/>
          <w:color w:val="000000"/>
          <w:sz w:val="22"/>
        </w:rPr>
        <w:t> </w:t>
      </w:r>
      <w:r>
        <w:rPr>
          <w:rFonts w:ascii="Times New Roman" w:hAnsi="Times New Roman"/>
          <w:b w:val="false"/>
          <w:i w:val="false"/>
          <w:color w:val="000000"/>
          <w:sz w:val="22"/>
        </w:rPr>
        <w:t>Each funeral establishment will create and maintain the following records for a period of ten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General price list required by the funeral rule, beginning on the most recent effective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completed statement of goods and services required by the funeral rule, beginning on the date the statement is signed;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Cremation records (see rule </w:t>
      </w:r>
      <w:hyperlink r:id="rId20">
        <w:r>
          <w:rPr>
            <w:rStyle w:val="Hyperlink"/>
            <w:rFonts w:ascii="Times New Roman" w:hAnsi="Times New Roman"/>
            <w:b w:val="false"/>
            <w:i w:val="false"/>
            <w:color w:val="000000"/>
            <w:sz w:val="22"/>
          </w:rPr>
          <w:t>481—900.10</w:t>
        </w:r>
      </w:hyperlink>
      <w:r>
        <w:rPr>
          <w:rFonts w:ascii="Times New Roman" w:hAnsi="Times New Roman"/>
          <w:b w:val="false"/>
          <w:i w:val="false"/>
          <w:color w:val="000000"/>
          <w:sz w:val="22"/>
        </w:rPr>
        <w:t>(156));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Embalming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preneed contract (pursuant to Iowa Code chapter </w:t>
      </w:r>
      <w:hyperlink r:id="rId21">
        <w:r>
          <w:rPr>
            <w:rStyle w:val="Hyperlink"/>
            <w:rFonts w:ascii="Times New Roman" w:hAnsi="Times New Roman"/>
            <w:b w:val="false"/>
            <w:i w:val="false"/>
            <w:color w:val="000000"/>
            <w:sz w:val="22"/>
          </w:rPr>
          <w:t>523A</w:t>
        </w:r>
      </w:hyperlink>
      <w:r>
        <w:rPr>
          <w:rFonts w:ascii="Times New Roman" w:hAnsi="Times New Roman"/>
          <w:b w:val="false"/>
          <w:i w:val="false"/>
          <w:color w:val="000000"/>
          <w:sz w:val="22"/>
        </w:rPr>
        <w:t xml:space="preserve">), beginning on the date of death.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900.11(3)</w:t>
      </w:r>
      <w:r>
        <w:rPr>
          <w:rFonts w:ascii="Times New Roman" w:hAnsi="Times New Roman"/>
          <w:b w:val="false"/>
          <w:i w:val="false"/>
          <w:color w:val="000000"/>
          <w:sz w:val="22"/>
        </w:rPr>
        <w:t> </w:t>
      </w:r>
      <w:r>
        <w:rPr>
          <w:rFonts w:ascii="Times New Roman" w:hAnsi="Times New Roman"/>
          <w:b w:val="false"/>
          <w:i w:val="false"/>
          <w:color w:val="000000"/>
          <w:sz w:val="22"/>
        </w:rPr>
        <w:t xml:space="preserve">The funeral records maintained by the funeral establishment as required in subrules </w:t>
      </w:r>
      <w:r>
        <w:rPr>
          <w:rFonts w:ascii="Times New Roman" w:hAnsi="Times New Roman"/>
          <w:b w:val="false"/>
          <w:i w:val="false"/>
          <w:color w:val="000000"/>
          <w:sz w:val="22"/>
        </w:rPr>
        <w:t>900.11(1)</w:t>
      </w:r>
      <w:r>
        <w:rPr>
          <w:rFonts w:ascii="Times New Roman" w:hAnsi="Times New Roman"/>
          <w:b w:val="false"/>
          <w:i w:val="false"/>
          <w:color w:val="000000"/>
          <w:sz w:val="22"/>
        </w:rPr>
        <w:t xml:space="preserve"> and </w:t>
      </w:r>
      <w:r>
        <w:rPr>
          <w:rFonts w:ascii="Times New Roman" w:hAnsi="Times New Roman"/>
          <w:b w:val="false"/>
          <w:i w:val="false"/>
          <w:color w:val="000000"/>
          <w:sz w:val="22"/>
        </w:rPr>
        <w:t>900.11(2)</w:t>
      </w:r>
      <w:r>
        <w:rPr>
          <w:rFonts w:ascii="Times New Roman" w:hAnsi="Times New Roman"/>
          <w:b w:val="false"/>
          <w:i w:val="false"/>
          <w:color w:val="000000"/>
          <w:sz w:val="22"/>
        </w:rPr>
        <w:t xml:space="preserve"> will be made available by the manager, funeral director or owner of the funeral establishment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person or entity assuming a new ownership interest or any person newly assuming the position of manager, at least ten days prior to a change in ownership or manager, unless otherwise mutually agreed upon by the parties;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licensed funeral director who practiced funeral directing while under the employment of, or while acting as an agent of, the funeral establishment;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state registrar of vital statistics and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900.11(4)</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event a funeral establishment ceases to do business, the owner or manager of the funeral establishment will identify the person or entity that will be responsible for records to be maintained by a funeral establishment as required in subrules </w:t>
      </w:r>
      <w:r>
        <w:rPr>
          <w:rFonts w:ascii="Times New Roman" w:hAnsi="Times New Roman"/>
          <w:b w:val="false"/>
          <w:i w:val="false"/>
          <w:color w:val="000000"/>
          <w:sz w:val="22"/>
        </w:rPr>
        <w:t>900.11(1)</w:t>
      </w:r>
      <w:r>
        <w:rPr>
          <w:rFonts w:ascii="Times New Roman" w:hAnsi="Times New Roman"/>
          <w:b w:val="false"/>
          <w:i w:val="false"/>
          <w:color w:val="000000"/>
          <w:sz w:val="22"/>
        </w:rPr>
        <w:t xml:space="preserve"> and </w:t>
      </w:r>
      <w:r>
        <w:rPr>
          <w:rFonts w:ascii="Times New Roman" w:hAnsi="Times New Roman"/>
          <w:b w:val="false"/>
          <w:i w:val="false"/>
          <w:color w:val="000000"/>
          <w:sz w:val="22"/>
        </w:rPr>
        <w:t>900.11(2)</w:t>
      </w:r>
      <w:r>
        <w:rPr>
          <w:rFonts w:ascii="Times New Roman" w:hAnsi="Times New Roman"/>
          <w:b w:val="false"/>
          <w:i w:val="false"/>
          <w:color w:val="000000"/>
          <w:sz w:val="22"/>
        </w:rPr>
        <w:t>. The funeral establishment will notify the board if funeral records are moved from the funeral establishment to another location and identify the person responsible for their safekeeping.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2">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prior to 7/1/52; amended 2/24/58, 6/10/60, 3/15/72]</w:t>
      </w:r>
    </w:p>
    <w:p>
      <w:pPr>
        <w:spacing w:before="0" w:after="0"/>
        <w:ind w:left="120"/>
        <w:jc w:val="center"/>
      </w:pPr>
      <w:r>
        <w:rPr>
          <w:rFonts w:ascii="Times New Roman" w:hAnsi="Times New Roman"/>
          <w:b w:val="false"/>
          <w:i w:val="false"/>
          <w:color w:val="000000"/>
          <w:sz w:val="21"/>
        </w:rPr>
        <w:t>[Filed 4/24/80, Notice 1/9/80—published 5/14/80, effective 7/1/80]</w:t>
      </w:r>
    </w:p>
    <w:p>
      <w:pPr>
        <w:spacing w:before="0" w:after="0"/>
        <w:ind w:left="120"/>
        <w:jc w:val="center"/>
      </w:pPr>
      <w:r>
        <w:rPr>
          <w:rFonts w:ascii="Times New Roman" w:hAnsi="Times New Roman"/>
          <w:b w:val="false"/>
          <w:i w:val="false"/>
          <w:color w:val="000000"/>
          <w:sz w:val="21"/>
        </w:rPr>
        <w:t>[Filed 8/23/82, Notice 5/26/82—published 9/15/82, effective 10/21/82]</w:t>
      </w:r>
    </w:p>
    <w:p>
      <w:pPr>
        <w:spacing w:before="0" w:after="0"/>
        <w:ind w:left="120"/>
        <w:jc w:val="center"/>
      </w:pPr>
      <w:r>
        <w:rPr>
          <w:rFonts w:ascii="Times New Roman" w:hAnsi="Times New Roman"/>
          <w:b w:val="false"/>
          <w:i w:val="false"/>
          <w:color w:val="000000"/>
          <w:sz w:val="21"/>
        </w:rPr>
        <w:t>[Filed emergency after Notice 1/19/84, Notice 10/26/83—published 2/15/84, effective 1/19/84]</w:t>
      </w:r>
    </w:p>
    <w:p>
      <w:pPr>
        <w:spacing w:before="0" w:after="0"/>
        <w:ind w:left="120"/>
        <w:jc w:val="center"/>
      </w:pPr>
      <w:r>
        <w:rPr>
          <w:rFonts w:ascii="Times New Roman" w:hAnsi="Times New Roman"/>
          <w:b w:val="false"/>
          <w:i w:val="false"/>
          <w:color w:val="000000"/>
          <w:sz w:val="21"/>
        </w:rPr>
        <w:t>[Filed 7/13/84, Notice 5/23/84—published 8/1/84, effective 9/5/84]</w:t>
      </w:r>
    </w:p>
    <w:p>
      <w:pPr>
        <w:spacing w:before="0" w:after="0"/>
        <w:ind w:left="120"/>
        <w:jc w:val="center"/>
      </w:pPr>
      <w:r>
        <w:rPr>
          <w:rFonts w:ascii="Times New Roman" w:hAnsi="Times New Roman"/>
          <w:b w:val="false"/>
          <w:i w:val="false"/>
          <w:color w:val="000000"/>
          <w:sz w:val="21"/>
        </w:rPr>
        <w:t>[Filed 1/24/86, Notice 12/18/85—published 2/12/86, effective 3/20/86]</w:t>
      </w:r>
    </w:p>
    <w:p>
      <w:pPr>
        <w:spacing w:before="0" w:after="0"/>
        <w:ind w:left="120"/>
        <w:jc w:val="center"/>
      </w:pPr>
      <w:r>
        <w:rPr>
          <w:rFonts w:ascii="Times New Roman" w:hAnsi="Times New Roman"/>
          <w:b w:val="false"/>
          <w:i w:val="false"/>
          <w:color w:val="000000"/>
          <w:sz w:val="21"/>
        </w:rPr>
        <w:t>[Filed 8/30/88, Notice 6/29/88—published 9/21/88, effective 10/26/88]</w:t>
      </w:r>
    </w:p>
    <w:p>
      <w:pPr>
        <w:spacing w:before="0" w:after="0"/>
        <w:ind w:left="120"/>
        <w:jc w:val="center"/>
      </w:pPr>
      <w:r>
        <w:rPr>
          <w:rFonts w:ascii="Times New Roman" w:hAnsi="Times New Roman"/>
          <w:b w:val="false"/>
          <w:i w:val="false"/>
          <w:color w:val="000000"/>
          <w:sz w:val="21"/>
        </w:rPr>
        <w:t>[Filed 1/17/92, Notice 9/4/91—published 2/5/92, effective 3/11/92]</w:t>
      </w:r>
    </w:p>
    <w:p>
      <w:pPr>
        <w:spacing w:before="0" w:after="0"/>
        <w:ind w:left="120"/>
        <w:jc w:val="center"/>
      </w:pPr>
      <w:r>
        <w:rPr>
          <w:rFonts w:ascii="Times New Roman" w:hAnsi="Times New Roman"/>
          <w:b w:val="false"/>
          <w:i w:val="false"/>
          <w:color w:val="000000"/>
          <w:sz w:val="21"/>
        </w:rPr>
        <w:t>[Filed 4/24/92, Notice 3/4/92—published 5/13/92, effective 6/17/92]</w:t>
      </w:r>
    </w:p>
    <w:p>
      <w:pPr>
        <w:spacing w:before="0" w:after="0"/>
        <w:ind w:left="120"/>
        <w:jc w:val="center"/>
      </w:pPr>
      <w:r>
        <w:rPr>
          <w:rFonts w:ascii="Times New Roman" w:hAnsi="Times New Roman"/>
          <w:b w:val="false"/>
          <w:i w:val="false"/>
          <w:color w:val="000000"/>
          <w:sz w:val="21"/>
        </w:rPr>
        <w:t>[Filed 1/27/95, Notice 10/26/94—published 2/15/95, effective 3/22/95</w:t>
      </w:r>
      <w:r>
        <w:rPr>
          <w:rFonts w:ascii="Times New Roman" w:hAnsi="Times New Roman"/>
          <w:b w:val="false"/>
          <w:i w:val="false"/>
          <w:color w:val="000000"/>
          <w:sz w:val="10"/>
        </w:rPr>
        <w:t>1</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5/2/97, Notice 2/26/97—published 5/21/97, effective 6/25/97]</w:t>
      </w:r>
    </w:p>
    <w:p>
      <w:pPr>
        <w:spacing w:before="0" w:after="0"/>
        <w:ind w:left="120"/>
        <w:jc w:val="center"/>
      </w:pPr>
      <w:r>
        <w:rPr>
          <w:rFonts w:ascii="Times New Roman" w:hAnsi="Times New Roman"/>
          <w:b w:val="false"/>
          <w:i w:val="false"/>
          <w:color w:val="000000"/>
          <w:sz w:val="21"/>
        </w:rPr>
        <w:t>[Filed 8/20/97, Notice 7/2/97—published 9/10/97, effective 10/15/97]</w:t>
      </w:r>
    </w:p>
    <w:p>
      <w:pPr>
        <w:spacing w:before="0" w:after="0"/>
        <w:ind w:left="120"/>
        <w:jc w:val="center"/>
      </w:pPr>
      <w:r>
        <w:rPr>
          <w:rFonts w:ascii="Times New Roman" w:hAnsi="Times New Roman"/>
          <w:b w:val="false"/>
          <w:i w:val="false"/>
          <w:color w:val="000000"/>
          <w:sz w:val="21"/>
        </w:rPr>
        <w:t>[Filed 8/18/98, Notice 5/6/98—published 9/9/98, effective 10/14/98]</w:t>
      </w:r>
    </w:p>
    <w:p>
      <w:pPr>
        <w:spacing w:before="0" w:after="0"/>
        <w:ind w:left="120"/>
        <w:jc w:val="center"/>
      </w:pPr>
      <w:r>
        <w:rPr>
          <w:rFonts w:ascii="Times New Roman" w:hAnsi="Times New Roman"/>
          <w:b w:val="false"/>
          <w:i w:val="false"/>
          <w:color w:val="000000"/>
          <w:sz w:val="21"/>
        </w:rPr>
        <w:t>[Filed 6/19/02, Notice 1/9/02—published 7/10/02, effective 8/14/02]</w:t>
      </w:r>
    </w:p>
    <w:p>
      <w:pPr>
        <w:spacing w:before="0" w:after="0"/>
        <w:ind w:left="120"/>
        <w:jc w:val="center"/>
      </w:pPr>
      <w:r>
        <w:rPr>
          <w:rFonts w:ascii="Times New Roman" w:hAnsi="Times New Roman"/>
          <w:b w:val="false"/>
          <w:i w:val="false"/>
          <w:color w:val="000000"/>
          <w:sz w:val="21"/>
        </w:rPr>
        <w:t>[Filed 3/13/03, Notice 1/8/03—published 4/2/03, effective 5/7/03]</w:t>
      </w:r>
    </w:p>
    <w:p>
      <w:pPr>
        <w:spacing w:before="0" w:after="0"/>
        <w:ind w:left="120"/>
        <w:jc w:val="center"/>
      </w:pPr>
      <w:r>
        <w:rPr>
          <w:rFonts w:ascii="Times New Roman" w:hAnsi="Times New Roman"/>
          <w:b w:val="false"/>
          <w:i w:val="false"/>
          <w:color w:val="000000"/>
          <w:sz w:val="21"/>
        </w:rPr>
        <w:t>[Filed 3/23/05, Notice 2/16/05—published 4/13/05, effective 5/18/05]</w:t>
      </w:r>
    </w:p>
    <w:p>
      <w:pPr>
        <w:spacing w:before="0" w:after="0"/>
        <w:ind w:left="120"/>
        <w:jc w:val="center"/>
      </w:pPr>
      <w:r>
        <w:rPr>
          <w:rFonts w:ascii="Times New Roman" w:hAnsi="Times New Roman"/>
          <w:b w:val="false"/>
          <w:i w:val="false"/>
          <w:color w:val="000000"/>
          <w:sz w:val="21"/>
        </w:rPr>
        <w:t>[Filed 12/9/05, Notice 9/28/05—published 1/4/06, effective 2/8/06]</w:t>
      </w:r>
    </w:p>
    <w:p>
      <w:pPr>
        <w:spacing w:before="0" w:after="0"/>
        <w:ind w:left="120"/>
        <w:jc w:val="center"/>
      </w:pPr>
      <w:r>
        <w:rPr>
          <w:rFonts w:ascii="Times New Roman" w:hAnsi="Times New Roman"/>
          <w:b w:val="false"/>
          <w:i w:val="false"/>
          <w:color w:val="000000"/>
          <w:sz w:val="21"/>
        </w:rPr>
        <w:t>[Filed 3/9/06, Notice 1/4/06—published 3/29/06, effective 5/3/06]</w:t>
      </w:r>
    </w:p>
    <w:p>
      <w:pPr>
        <w:spacing w:before="0" w:after="0"/>
        <w:ind w:left="120"/>
        <w:jc w:val="center"/>
      </w:pPr>
      <w:r>
        <w:rPr>
          <w:rFonts w:ascii="Times New Roman" w:hAnsi="Times New Roman"/>
          <w:b w:val="false"/>
          <w:i w:val="false"/>
          <w:color w:val="000000"/>
          <w:sz w:val="21"/>
        </w:rPr>
        <w:t>[Filed 3/21/08, Notice 1/16/08—published 4/9/08, effective 5/14/08]</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9/12/08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7/30/08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9239B</w:t>
      </w:r>
      <w:r>
        <w:rPr>
          <w:rFonts w:ascii="Times New Roman" w:hAnsi="Times New Roman"/>
          <w:b w:val="false"/>
          <w:i w:val="false"/>
          <w:color w:val="000000"/>
          <w:sz w:val="21"/>
        </w:rPr>
        <w:t xml:space="preserve"> (Notice ARC 8927B, IAB 7/14/10)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1274C</w:t>
      </w:r>
      <w:r>
        <w:rPr>
          <w:rFonts w:ascii="Times New Roman" w:hAnsi="Times New Roman"/>
          <w:b w:val="false"/>
          <w:i w:val="false"/>
          <w:color w:val="000000"/>
          <w:sz w:val="21"/>
        </w:rPr>
        <w:t xml:space="preserve"> (Notice ARC 1163C, IAB 10/30/13)</w:t>
      </w:r>
      <w:r>
        <w:rPr>
          <w:rFonts w:ascii="Times New Roman" w:hAnsi="Times New Roman"/>
          <w:b w:val="false"/>
          <w:i w:val="false"/>
          <w:color w:val="000000"/>
          <w:sz w:val="21"/>
        </w:rPr>
        <w:t>, IAB 1/8/14, effective 2/12/14]</w:t>
      </w:r>
      <w:r>
        <w:br/>
      </w:r>
      <w:r>
        <w:rPr>
          <w:rFonts w:ascii="Times New Roman" w:hAnsi="Times New Roman"/>
          <w:b w:val="false"/>
          <w:i w:val="false"/>
          <w:color w:val="000000"/>
          <w:sz w:val="21"/>
        </w:rPr>
        <w:t>[Filed ARC 1275C</w:t>
      </w:r>
      <w:r>
        <w:rPr>
          <w:rFonts w:ascii="Times New Roman" w:hAnsi="Times New Roman"/>
          <w:b w:val="false"/>
          <w:i w:val="false"/>
          <w:color w:val="000000"/>
          <w:sz w:val="21"/>
        </w:rPr>
        <w:t xml:space="preserve"> (Notice ARC 1164C, IAB 10/30/13)</w:t>
      </w:r>
      <w:r>
        <w:rPr>
          <w:rFonts w:ascii="Times New Roman" w:hAnsi="Times New Roman"/>
          <w:b w:val="false"/>
          <w:i w:val="false"/>
          <w:color w:val="000000"/>
          <w:sz w:val="21"/>
        </w:rPr>
        <w:t>, IAB 1/8/14, effective 2/12/14]</w:t>
      </w:r>
    </w:p>
    <w:p>
      <w:pPr>
        <w:spacing w:before="0" w:after="0"/>
        <w:ind w:left="120"/>
        <w:jc w:val="center"/>
      </w:pPr>
      <w:r>
        <w:rPr>
          <w:rFonts w:ascii="Times New Roman" w:hAnsi="Times New Roman"/>
          <w:b w:val="false"/>
          <w:i w:val="false"/>
          <w:color w:val="000000"/>
          <w:sz w:val="21"/>
        </w:rPr>
        <w:t>[Filed ARC 3083C</w:t>
      </w:r>
      <w:r>
        <w:rPr>
          <w:rFonts w:ascii="Times New Roman" w:hAnsi="Times New Roman"/>
          <w:b w:val="false"/>
          <w:i w:val="false"/>
          <w:color w:val="000000"/>
          <w:sz w:val="21"/>
        </w:rPr>
        <w:t xml:space="preserve"> (Notice ARC 3000C, IAB 3/29/17)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4849C</w:t>
      </w:r>
      <w:r>
        <w:rPr>
          <w:rFonts w:ascii="Times New Roman" w:hAnsi="Times New Roman"/>
          <w:b w:val="false"/>
          <w:i w:val="false"/>
          <w:color w:val="000000"/>
          <w:sz w:val="21"/>
        </w:rPr>
        <w:t xml:space="preserve"> (Amended Notice ARC 4656C, IAB 9/11/19; </w:t>
      </w:r>
      <w:r>
        <w:rPr>
          <w:rFonts w:ascii="Times New Roman" w:hAnsi="Times New Roman"/>
          <w:b w:val="false"/>
          <w:i w:val="false"/>
          <w:color w:val="000000"/>
          <w:sz w:val="21"/>
        </w:rPr>
        <w:t>Notice ARC 4306C, IAB 2/13/19)</w:t>
      </w:r>
      <w:r>
        <w:rPr>
          <w:rFonts w:ascii="Times New Roman" w:hAnsi="Times New Roman"/>
          <w:b w:val="false"/>
          <w:i w:val="false"/>
          <w:color w:val="000000"/>
          <w:sz w:val="21"/>
        </w:rPr>
        <w:t>, IAB 1/1/20, effective 2/5/20]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ARC 7812C</w:t>
      </w:r>
      <w:r>
        <w:rPr>
          <w:rFonts w:ascii="Times New Roman" w:hAnsi="Times New Roman"/>
          <w:b w:val="false"/>
          <w:i w:val="false"/>
          <w:color w:val="000000"/>
          <w:sz w:val="21"/>
        </w:rPr>
        <w:t xml:space="preserve"> (Notice ARC 7531C, IAB 1/24/24)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0466D</w:t>
      </w:r>
      <w:r>
        <w:rPr>
          <w:rFonts w:ascii="Times New Roman" w:hAnsi="Times New Roman"/>
          <w:b w:val="false"/>
          <w:i w:val="false"/>
          <w:color w:val="000000"/>
          <w:sz w:val="21"/>
        </w:rPr>
        <w:t xml:space="preserve"> (Notice ARC 0201D, IAB 4/15/26)</w:t>
      </w:r>
      <w:r>
        <w:rPr>
          <w:rFonts w:ascii="Times New Roman" w:hAnsi="Times New Roman"/>
          <w:b w:val="false"/>
          <w:i w:val="false"/>
          <w:color w:val="000000"/>
          <w:sz w:val="21"/>
        </w:rPr>
        <w:t>, IAB 8/5/26, effective 9/9/26]</w:t>
      </w:r>
    </w:p>
    <w:p>
      <w:pPr>
        <w:pBdr>
          <w:bottom w:space="2"/>
        </w:pBdr>
        <w:spacing w:before="0" w:after="0"/>
        <w:ind w:left="120"/>
        <w:jc w:val="both"/>
      </w:pPr>
      <w:r>
        <w:rPr>
          <w:rFonts w:ascii="Times New Roman" w:hAnsi="Times New Roman"/>
          <w:b w:val="false"/>
          <w:i w:val="false"/>
          <w:color w:val="000000"/>
          <w:sz w:val="22"/>
        </w:rPr>
        <w:t>Effective date of 645—100.1(4)</w:t>
      </w:r>
      <w:r>
        <w:rPr>
          <w:rFonts w:ascii="Times New Roman" w:hAnsi="Times New Roman"/>
          <w:b w:val="false"/>
          <w:i/>
          <w:color w:val="000000"/>
          <w:sz w:val="22"/>
        </w:rPr>
        <w:t>“a,”</w:t>
      </w:r>
      <w:r>
        <w:rPr>
          <w:rFonts w:ascii="Times New Roman" w:hAnsi="Times New Roman"/>
          <w:b w:val="false"/>
          <w:i w:val="false"/>
          <w:color w:val="000000"/>
          <w:sz w:val="22"/>
        </w:rPr>
        <w:t xml:space="preserve"> 100.1(5)</w:t>
      </w:r>
      <w:r>
        <w:rPr>
          <w:rFonts w:ascii="Times New Roman" w:hAnsi="Times New Roman"/>
          <w:b w:val="false"/>
          <w:i/>
          <w:color w:val="000000"/>
          <w:sz w:val="22"/>
        </w:rPr>
        <w:t>“c,”</w:t>
      </w:r>
      <w:r>
        <w:rPr>
          <w:rFonts w:ascii="Times New Roman" w:hAnsi="Times New Roman"/>
          <w:b w:val="false"/>
          <w:i w:val="false"/>
          <w:color w:val="000000"/>
          <w:sz w:val="22"/>
        </w:rPr>
        <w:t xml:space="preserve"> 100.1(8)</w:t>
      </w:r>
      <w:r>
        <w:rPr>
          <w:rFonts w:ascii="Times New Roman" w:hAnsi="Times New Roman"/>
          <w:b w:val="false"/>
          <w:i/>
          <w:color w:val="000000"/>
          <w:sz w:val="22"/>
        </w:rPr>
        <w:t xml:space="preserve">“a,” </w:t>
      </w:r>
      <w:r>
        <w:rPr>
          <w:rFonts w:ascii="Times New Roman" w:hAnsi="Times New Roman"/>
          <w:b w:val="false"/>
          <w:i w:val="false"/>
          <w:color w:val="000000"/>
          <w:sz w:val="22"/>
        </w:rPr>
        <w:t>100.6(135,144) and 100.7(135,144) delayed 70 days by the Administrative Rules Review Committee at its meeting held March 13, 1995; delay lifted by this Committee May 9, 1995.</w:t>
      </w:r>
    </w:p>
    <w:p>
      <w:pPr>
        <w:pBdr>
          <w:bottom w:space="2"/>
        </w:pBdr>
        <w:spacing w:before="0" w:after="0"/>
        <w:ind w:left="120"/>
        <w:jc w:val="both"/>
      </w:pPr>
      <w:r>
        <w:rPr>
          <w:rFonts w:ascii="Times New Roman" w:hAnsi="Times New Roman"/>
          <w:b w:val="false"/>
          <w:i w:val="false"/>
          <w:color w:val="000000"/>
          <w:sz w:val="22"/>
        </w:rPr>
        <w:t xml:space="preserve">February 5, 2020, effective date of </w:t>
      </w:r>
      <w:r>
        <w:rPr>
          <w:rFonts w:ascii="Times New Roman" w:hAnsi="Times New Roman"/>
          <w:b/>
          <w:i w:val="false"/>
          <w:color w:val="000000"/>
          <w:sz w:val="22"/>
        </w:rPr>
        <w:t>ARC 4849C</w:t>
      </w:r>
      <w:r>
        <w:rPr>
          <w:rFonts w:ascii="Times New Roman" w:hAnsi="Times New Roman"/>
          <w:b w:val="false"/>
          <w:i w:val="false"/>
          <w:color w:val="000000"/>
          <w:sz w:val="22"/>
        </w:rPr>
        <w:t xml:space="preserve"> [100.9(6)] delayed until the adjournment of the 2020 session of the General Assembly by the Administrative Rules Review Committee at its meeting held January 10, 2020.</w:t>
      </w:r>
    </w:p>
    <w:sectPr>
      <w:footerReference r:id="rId2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44C.5.pdf" Type="http://schemas.openxmlformats.org/officeDocument/2006/relationships/hyperlink" Id="rId5"/>
    <Relationship TargetMode="External" Target="https://www.legis.iowa.gov/docs/iac/rule/481.900.4.pdf" Type="http://schemas.openxmlformats.org/officeDocument/2006/relationships/hyperlink" Id="rId6"/>
    <Relationship TargetMode="External" Target="https://www.legis.iowa.gov/docs/iac/rule/481.900.6.pdf" Type="http://schemas.openxmlformats.org/officeDocument/2006/relationships/hyperlink" Id="rId7"/>
    <Relationship TargetMode="External" Target="https://www.legis.iowa.gov/docs/iac/rule/481.900.11.pdf" Type="http://schemas.openxmlformats.org/officeDocument/2006/relationships/hyperlink" Id="rId8"/>
    <Relationship TargetMode="External" Target="https://www.legis.iowa.gov/docs/iac/rule/481.900.7.pdf" Type="http://schemas.openxmlformats.org/officeDocument/2006/relationships/hyperlink" Id="rId9"/>
    <Relationship TargetMode="External" Target="https://www.legis.iowa.gov/docs/iac/rule/481.900.10.pdf" Type="http://schemas.openxmlformats.org/officeDocument/2006/relationships/hyperlink" Id="rId10"/>
    <Relationship TargetMode="External" Target="https://www.legis.iowa.gov/docs/ico/chapter/144.pdf" Type="http://schemas.openxmlformats.org/officeDocument/2006/relationships/hyperlink" Id="rId11"/>
    <Relationship TargetMode="External" Target="https://www.legis.iowa.gov/docs/iac/rule/481.900.2.pdf" Type="http://schemas.openxmlformats.org/officeDocument/2006/relationships/hyperlink" Id="rId12"/>
    <Relationship TargetMode="External" Target="https://www.legis.iowa.gov/docs/iac/rule/481.900.4.pdf" Type="http://schemas.openxmlformats.org/officeDocument/2006/relationships/hyperlink" Id="rId13"/>
    <Relationship TargetMode="External" Target="https://www.legis.iowa.gov/docs/iac/rule/481.900.2.pdf" Type="http://schemas.openxmlformats.org/officeDocument/2006/relationships/hyperlink" Id="rId14"/>
    <Relationship TargetMode="External" Target="https://www.legis.iowa.gov/docs/iac/rule/641.97.14.pdf" Type="http://schemas.openxmlformats.org/officeDocument/2006/relationships/hyperlink" Id="rId15"/>
    <Relationship TargetMode="External" Target="https://www.legis.iowa.gov/docs/iac/rule/641.97.14.pdf" Type="http://schemas.openxmlformats.org/officeDocument/2006/relationships/hyperlink" Id="rId16"/>
    <Relationship TargetMode="External" Target="https://www.legis.iowa.gov/docs/iac/rule/481.900.5.pdf" Type="http://schemas.openxmlformats.org/officeDocument/2006/relationships/hyperlink" Id="rId17"/>
    <Relationship TargetMode="External" Target="https://www.legis.iowa.gov/docs/iac/rule/481.900.6.pdf" Type="http://schemas.openxmlformats.org/officeDocument/2006/relationships/hyperlink" Id="rId18"/>
    <Relationship TargetMode="External" Target="https://www.legis.iowa.gov/docs/ico/chapter/144.49.pdf" Type="http://schemas.openxmlformats.org/officeDocument/2006/relationships/hyperlink" Id="rId19"/>
    <Relationship TargetMode="External" Target="https://www.legis.iowa.gov/docs/iac/rule/481.900.10.pdf" Type="http://schemas.openxmlformats.org/officeDocument/2006/relationships/hyperlink" Id="rId20"/>
    <Relationship TargetMode="External" Target="https://www.legis.iowa.gov/docs/ico/chapter/523A.pdf" Type="http://schemas.openxmlformats.org/officeDocument/2006/relationships/hyperlink" Id="rId21"/>
    <Relationship TargetMode="External" Target="https://www.legis.iowa.gov/docs/ico/chapter/147.pdf" Type="http://schemas.openxmlformats.org/officeDocument/2006/relationships/hyperlink" Id="rId22"/>
    <Relationship TargetMode="External" Target="https://www.legis.iowa.gov/docs/ico/chapter/156.pdf" Type="http://schemas.openxmlformats.org/officeDocument/2006/relationships/hyperlink" Id="rId23"/>
    <Relationship TargetMode="External" Target="https://www.legis.iowa.gov/docs/ico/chapter/272C.pdf" Type="http://schemas.openxmlformats.org/officeDocument/2006/relationships/hyperlink" Id="rId24"/>
    <Relationship Target="footer.xml" Type="http://schemas.openxmlformats.org/officeDocument/2006/relationships/footer"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