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BEHAVIORAL HEALTH PROFESSIONALS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880</w:t>
      </w:r>
    </w:p>
    <w:p>
      <w:pPr>
        <w:spacing w:before="0" w:after="0"/>
        <w:ind w:left="120"/>
        <w:jc w:val="center"/>
      </w:pPr>
      <w:r>
        <w:rPr>
          <w:rFonts w:ascii="Times New Roman" w:hAnsi="Times New Roman"/>
          <w:b w:val="false"/>
          <w:i w:val="false"/>
          <w:color w:val="000000"/>
          <w:sz w:val="21"/>
        </w:rPr>
        <w:t>BEHAVIORAL HEALTH PROFESSIONALS LICENSING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481—880.1</w:t>
      </w:r>
      <w:r>
        <w:rPr>
          <w:rFonts w:ascii="Times New Roman" w:hAnsi="Times New Roman"/>
          <w:b/>
          <w:i w:val="false"/>
          <w:color w:val="000000"/>
          <w:sz w:val="22"/>
        </w:rPr>
        <w:t xml:space="preserve">(148,154B,154C,154D)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“AMFTRB”</w:t>
      </w:r>
      <w:r>
        <w:rPr>
          <w:rFonts w:ascii="Times New Roman" w:hAnsi="Times New Roman"/>
          <w:b w:val="false"/>
          <w:i w:val="false"/>
          <w:color w:val="000000"/>
          <w:sz w:val="22"/>
        </w:rPr>
        <w:t> </w:t>
      </w:r>
      <w:r>
        <w:rPr>
          <w:rFonts w:ascii="Times New Roman" w:hAnsi="Times New Roman"/>
          <w:b w:val="false"/>
          <w:i w:val="false"/>
          <w:color w:val="000000"/>
          <w:sz w:val="22"/>
        </w:rPr>
        <w:t>means the Association of Marital and Family Therapy Regulatory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“ASPPB”</w:t>
      </w:r>
      <w:r>
        <w:rPr>
          <w:rFonts w:ascii="Times New Roman" w:hAnsi="Times New Roman"/>
          <w:b w:val="false"/>
          <w:i w:val="false"/>
          <w:color w:val="000000"/>
          <w:sz w:val="22"/>
        </w:rPr>
        <w:t> </w:t>
      </w:r>
      <w:r>
        <w:rPr>
          <w:rFonts w:ascii="Times New Roman" w:hAnsi="Times New Roman"/>
          <w:b w:val="false"/>
          <w:i w:val="false"/>
          <w:color w:val="000000"/>
          <w:sz w:val="22"/>
        </w:rPr>
        <w:t>means the Association of State and Provincial Psychology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“ASWB”</w:t>
      </w:r>
      <w:r>
        <w:rPr>
          <w:rFonts w:ascii="Times New Roman" w:hAnsi="Times New Roman"/>
          <w:b w:val="false"/>
          <w:i w:val="false"/>
          <w:color w:val="000000"/>
          <w:sz w:val="22"/>
        </w:rPr>
        <w:t> </w:t>
      </w:r>
      <w:r>
        <w:rPr>
          <w:rFonts w:ascii="Times New Roman" w:hAnsi="Times New Roman"/>
          <w:b w:val="false"/>
          <w:i w:val="false"/>
          <w:color w:val="000000"/>
          <w:sz w:val="22"/>
        </w:rPr>
        <w:t>means the Association of Social Work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“BACB”</w:t>
      </w:r>
      <w:r>
        <w:rPr>
          <w:rFonts w:ascii="Times New Roman" w:hAnsi="Times New Roman"/>
          <w:b w:val="false"/>
          <w:i w:val="false"/>
          <w:color w:val="000000"/>
          <w:sz w:val="22"/>
        </w:rPr>
        <w:t> </w:t>
      </w:r>
      <w:r>
        <w:rPr>
          <w:rFonts w:ascii="Times New Roman" w:hAnsi="Times New Roman"/>
          <w:b w:val="false"/>
          <w:i w:val="false"/>
          <w:color w:val="000000"/>
          <w:sz w:val="22"/>
        </w:rPr>
        <w:t>means the Behavior Analyst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behavioral health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“CCE”</w:t>
      </w:r>
      <w:r>
        <w:rPr>
          <w:rFonts w:ascii="Times New Roman" w:hAnsi="Times New Roman"/>
          <w:b w:val="false"/>
          <w:i w:val="false"/>
          <w:color w:val="000000"/>
          <w:sz w:val="22"/>
        </w:rPr>
        <w:t> </w:t>
      </w:r>
      <w:r>
        <w:rPr>
          <w:rFonts w:ascii="Times New Roman" w:hAnsi="Times New Roman"/>
          <w:b w:val="false"/>
          <w:i w:val="false"/>
          <w:color w:val="000000"/>
          <w:sz w:val="22"/>
        </w:rPr>
        <w:t>means the Center for Credentialing and Education,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health service provider in psychology”</w:t>
      </w:r>
      <w:r>
        <w:rPr>
          <w:rFonts w:ascii="Times New Roman" w:hAnsi="Times New Roman"/>
          <w:b w:val="false"/>
          <w:i w:val="false"/>
          <w:color w:val="000000"/>
          <w:sz w:val="22"/>
        </w:rPr>
        <w:t> </w:t>
      </w:r>
      <w:r>
        <w:rPr>
          <w:rFonts w:ascii="Times New Roman" w:hAnsi="Times New Roman"/>
          <w:b w:val="false"/>
          <w:i w:val="false"/>
          <w:color w:val="000000"/>
          <w:sz w:val="22"/>
        </w:rPr>
        <w:t>means a person who works in a clinical setting, who is licensed to practice psychology and who has a doctoral degree in psychology. A person certified as a health service provider in psychology shall be deemed qualified to diagnose or evaluate mental illness and nervous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w:t>
      </w:r>
      <w:r>
        <w:rPr>
          <w:rFonts w:ascii="Times New Roman" w:hAnsi="Times New Roman"/>
          <w:b w:val="false"/>
          <w:i w:val="false"/>
          <w:color w:val="000000"/>
          <w:sz w:val="22"/>
        </w:rPr>
        <w:t> </w:t>
      </w:r>
      <w:r>
        <w:rPr>
          <w:rFonts w:ascii="Times New Roman" w:hAnsi="Times New Roman"/>
          <w:b w:val="false"/>
          <w:i w:val="false"/>
          <w:color w:val="000000"/>
          <w:sz w:val="22"/>
        </w:rPr>
        <w:t>means three graduate semester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“DCI”</w:t>
      </w:r>
      <w:r>
        <w:rPr>
          <w:rFonts w:ascii="Times New Roman" w:hAnsi="Times New Roman"/>
          <w:b w:val="false"/>
          <w:i w:val="false"/>
          <w:color w:val="000000"/>
          <w:sz w:val="22"/>
        </w:rPr>
        <w:t> </w:t>
      </w:r>
      <w:r>
        <w:rPr>
          <w:rFonts w:ascii="Times New Roman" w:hAnsi="Times New Roman"/>
          <w:b w:val="false"/>
          <w:i w:val="false"/>
          <w:color w:val="000000"/>
          <w:sz w:val="22"/>
        </w:rPr>
        <w:t>means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“FBI”</w:t>
      </w:r>
      <w:r>
        <w:rPr>
          <w:rFonts w:ascii="Times New Roman" w:hAnsi="Times New Roman"/>
          <w:b w:val="false"/>
          <w:i w:val="false"/>
          <w:color w:val="000000"/>
          <w:sz w:val="22"/>
        </w:rPr>
        <w:t> </w:t>
      </w:r>
      <w:r>
        <w:rPr>
          <w:rFonts w:ascii="Times New Roman" w:hAnsi="Times New Roman"/>
          <w:b w:val="false"/>
          <w:i w:val="false"/>
          <w:color w:val="000000"/>
          <w:sz w:val="22"/>
        </w:rPr>
        <w:t>means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“NACES”</w:t>
      </w:r>
      <w:r>
        <w:rPr>
          <w:rFonts w:ascii="Times New Roman" w:hAnsi="Times New Roman"/>
          <w:b w:val="false"/>
          <w:i w:val="false"/>
          <w:color w:val="000000"/>
          <w:sz w:val="22"/>
        </w:rPr>
        <w:t> </w:t>
      </w:r>
      <w:r>
        <w:rPr>
          <w:rFonts w:ascii="Times New Roman" w:hAnsi="Times New Roman"/>
          <w:b w:val="false"/>
          <w:i w:val="false"/>
          <w:color w:val="000000"/>
          <w:sz w:val="22"/>
        </w:rPr>
        <w:t>means the National Association of Credential Evaluation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“NBCC”</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for Certified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“Provisional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issued to a person who is completing a predoctoral internship or postdoctoral residency under supervision in order to satisfy the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rules </w:t>
      </w:r>
      <w:hyperlink r:id="rId5">
        <w:r>
          <w:rPr>
            <w:rStyle w:val="Hyperlink"/>
            <w:rFonts w:ascii="Times New Roman" w:hAnsi="Times New Roman"/>
            <w:b w:val="false"/>
            <w:i w:val="false"/>
            <w:color w:val="000000"/>
            <w:sz w:val="22"/>
          </w:rPr>
          <w:t>481—880.11</w:t>
        </w:r>
      </w:hyperlink>
      <w:r>
        <w:rPr>
          <w:rFonts w:ascii="Times New Roman" w:hAnsi="Times New Roman"/>
          <w:b w:val="false"/>
          <w:i w:val="false"/>
          <w:color w:val="000000"/>
          <w:sz w:val="22"/>
        </w:rPr>
        <w:t xml:space="preserve">(272C) and </w:t>
      </w:r>
      <w:hyperlink r:id="rId6">
        <w:r>
          <w:rPr>
            <w:rStyle w:val="Hyperlink"/>
            <w:rFonts w:ascii="Times New Roman" w:hAnsi="Times New Roman"/>
            <w:b w:val="false"/>
            <w:i w:val="false"/>
            <w:color w:val="000000"/>
            <w:sz w:val="22"/>
          </w:rPr>
          <w:t>481—880.14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to practice marital and family therapy or mental health counseling under direct supervision of a qualified supervisor as determined by the board by rule to fulfill the postgraduate supervised clinical experience requirement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481—880.2</w:t>
      </w:r>
      <w:r>
        <w:rPr>
          <w:rFonts w:ascii="Times New Roman" w:hAnsi="Times New Roman"/>
          <w:b/>
          <w:i w:val="false"/>
          <w:color w:val="000000"/>
          <w:sz w:val="22"/>
        </w:rPr>
        <w:t xml:space="preserve">(154B,154C,154D) </w:t>
      </w:r>
      <w:r>
        <w:rPr>
          <w:rFonts w:ascii="Times New Roman" w:hAnsi="Times New Roman"/>
          <w:b/>
          <w:i w:val="false"/>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permanent and temporary licensure as a mental health counselor or marriage and family therapist.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online application for licensure and pay the nonrefundable licensure fee specified in rule </w:t>
      </w:r>
      <w:hyperlink r:id="rId8">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a mental health counseling license shall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official copies of academic transcripts sent directly from the school to the board have been received by the board or an equivalency evaluation completed by the CCE has been received by the board. The applicant shall present proof of meeting the educational requirements. Documentation of such proof shall be on file in the board office with the application and include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marital and family therapist, an official transcript verifying completion of a marital and family therapy program accredited by the Commission on Accreditation for Marriage and Family Therapy Education (COAMFTE) as defined in paragraph </w:t>
      </w:r>
      <w:hyperlink r:id="rId9">
        <w:r>
          <w:rPr>
            <w:rStyle w:val="Hyperlink"/>
            <w:rFonts w:ascii="Times New Roman" w:hAnsi="Times New Roman"/>
            <w:b w:val="false"/>
            <w:i w:val="false"/>
            <w:color w:val="000000"/>
            <w:sz w:val="22"/>
          </w:rPr>
          <w:t>880.4(1)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an equivalency evaluation of the applicant’s educational credentials completed by the CCE as defined in paragraph </w:t>
      </w:r>
      <w:hyperlink r:id="rId10">
        <w:r>
          <w:rPr>
            <w:rStyle w:val="Hyperlink"/>
            <w:rFonts w:ascii="Times New Roman" w:hAnsi="Times New Roman"/>
            <w:b w:val="false"/>
            <w:i w:val="false"/>
            <w:color w:val="000000"/>
            <w:sz w:val="22"/>
          </w:rPr>
          <w:t>880.4(1)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mental health counselor, an official transcript verifying completion of a mental health counseling program accredited by the Council on Accreditation of Counseling and Related Educational Programs (CACREP) as defined in paragraph </w:t>
      </w:r>
      <w:hyperlink r:id="rId11">
        <w:r>
          <w:rPr>
            <w:rStyle w:val="Hyperlink"/>
            <w:rFonts w:ascii="Times New Roman" w:hAnsi="Times New Roman"/>
            <w:b w:val="false"/>
            <w:i w:val="false"/>
            <w:color w:val="000000"/>
            <w:sz w:val="22"/>
          </w:rPr>
          <w:t>880.4(2)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an equivalency evaluation of the applicant’s educational credentials completed by the CCE as defined in paragraph </w:t>
      </w:r>
      <w:hyperlink r:id="rId12">
        <w:r>
          <w:rPr>
            <w:rStyle w:val="Hyperlink"/>
            <w:rFonts w:ascii="Times New Roman" w:hAnsi="Times New Roman"/>
            <w:b w:val="false"/>
            <w:i w:val="false"/>
            <w:color w:val="000000"/>
            <w:sz w:val="22"/>
          </w:rPr>
          <w:t>880.4(2)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required to take the examination(s) provided in subrule </w:t>
      </w:r>
      <w:hyperlink r:id="rId13">
        <w:r>
          <w:rPr>
            <w:rStyle w:val="Hyperlink"/>
            <w:rFonts w:ascii="Times New Roman" w:hAnsi="Times New Roman"/>
            <w:b w:val="false"/>
            <w:i w:val="false"/>
            <w:color w:val="000000"/>
            <w:sz w:val="22"/>
          </w:rPr>
          <w:t>880.3(1)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permanent licensure shall submit the required attestation of supervision forms documenting clinical experience as required in rule </w:t>
      </w:r>
      <w:hyperlink r:id="rId14">
        <w:r>
          <w:rPr>
            <w:rStyle w:val="Hyperlink"/>
            <w:rFonts w:ascii="Times New Roman" w:hAnsi="Times New Roman"/>
            <w:b w:val="false"/>
            <w:i w:val="false"/>
            <w:color w:val="000000"/>
            <w:sz w:val="22"/>
          </w:rPr>
          <w:t>481—880.7</w:t>
        </w:r>
      </w:hyperlink>
      <w:r>
        <w:rPr>
          <w:rFonts w:ascii="Times New Roman" w:hAnsi="Times New Roman"/>
          <w:b w:val="false"/>
          <w:i w:val="false"/>
          <w:color w:val="000000"/>
          <w:sz w:val="22"/>
        </w:rPr>
        <w:t>(154D).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for temporary licensure must submit a supervision plan to the board prior to licensure. Within 30 days of completion of the supervised clinical experience, the attestation of the completed supervised experience must be submitted to the board office. The temporary licensee shall remain under supervision until a permanent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temporary license is only valid for the purpose of fulfilling the postgraduate supervised clinical experience requirement. It is valid for three years and may be renewed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who was issued an initial permanent license within six months prior to the renewal shall not be required to renew the license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or permanent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880.2(2)</w:t>
      </w:r>
      <w:r>
        <w:rPr>
          <w:rFonts w:ascii="Times New Roman" w:hAnsi="Times New Roman"/>
          <w:b w:val="false"/>
          <w:i w:val="false"/>
          <w:color w:val="000000"/>
          <w:sz w:val="22"/>
        </w:rPr>
        <w:t> </w:t>
      </w:r>
      <w:r>
        <w:rPr>
          <w:rFonts w:ascii="Times New Roman" w:hAnsi="Times New Roman"/>
          <w:b w:val="false"/>
          <w:i/>
          <w:color w:val="000000"/>
          <w:sz w:val="22"/>
        </w:rPr>
        <w:t xml:space="preserve">Licensure of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15">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licensure as a behavior analyst, the applicant shall submit proof of current BACB certification as a board-certified behavior analyst or board-certified behavior analyst-doctoral. For licensure as an assistant behavior analyst, the applicant shall submit proof of current BACB certification as a board-certified assistant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initial psychology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16">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application will be considered by the board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have been received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the candidate’s qualifications has been supplied in writing on the prescribed forms by the candidate’s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successfully pass the national Examination for Professional Practice in Psychology (EPPP).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the national examination score sent directly from the ASPPB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Predoctoral internship. </w:t>
      </w:r>
      <w:r>
        <w:rPr>
          <w:rFonts w:ascii="Times New Roman" w:hAnsi="Times New Roman"/>
          <w:b w:val="false"/>
          <w:i w:val="false"/>
          <w:color w:val="000000"/>
          <w:sz w:val="22"/>
        </w:rPr>
        <w:t>An applicant for a provisional license for purposes of completing a predoctoral internship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provisional application for licensure and the nonrefundable licensure fee specified in rule </w:t>
      </w:r>
      <w:hyperlink r:id="rId17">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acceptance letter for the predoctoral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training director and the training director’s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applicant is enrolled in an educational program that meets the requirements of rule </w:t>
      </w:r>
      <w:hyperlink r:id="rId18">
        <w:r>
          <w:rPr>
            <w:rStyle w:val="Hyperlink"/>
            <w:rFonts w:ascii="Times New Roman" w:hAnsi="Times New Roman"/>
            <w:b w:val="false"/>
            <w:i w:val="false"/>
            <w:color w:val="000000"/>
            <w:sz w:val="22"/>
          </w:rPr>
          <w:t>481—880.4</w:t>
        </w:r>
      </w:hyperlink>
      <w:r>
        <w:rPr>
          <w:rFonts w:ascii="Times New Roman" w:hAnsi="Times New Roman"/>
          <w:b w:val="false"/>
          <w:i w:val="false"/>
          <w:color w:val="000000"/>
          <w:sz w:val="22"/>
        </w:rPr>
        <w:t>(154B,154C,154D).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Postdoctoral residency. </w:t>
      </w:r>
      <w:r>
        <w:rPr>
          <w:rFonts w:ascii="Times New Roman" w:hAnsi="Times New Roman"/>
          <w:b w:val="false"/>
          <w:i w:val="false"/>
          <w:color w:val="000000"/>
          <w:sz w:val="22"/>
        </w:rPr>
        <w:t>An applicant for a provisional license for purposes of completing a postdoctoral residency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application for licensure and the nonrefundable licensure fee specified in rule </w:t>
      </w:r>
      <w:hyperlink r:id="rId19">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from the school establishing that the requirements stated in subrule </w:t>
      </w:r>
      <w:hyperlink r:id="rId20">
        <w:r>
          <w:rPr>
            <w:rStyle w:val="Hyperlink"/>
            <w:rFonts w:ascii="Times New Roman" w:hAnsi="Times New Roman"/>
            <w:b w:val="false"/>
            <w:i w:val="false"/>
            <w:color w:val="000000"/>
            <w:sz w:val="22"/>
          </w:rPr>
          <w:t>880.4(4)</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completed supervision plan on the prescribed board form, signed by the applicant’s supervisors. A change in supervisor or in the supervision plan requires submission of a new supervision plan on the prescribed board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provisional license is effective for two years from the date of issuance. A provisional license issued for purposes of completing a predoctoral internship can be used for purposes of completing a postdoctoral residency until the provisional license expires. The provisional licensee shall submit a completed supervision plan on the prescribed board form, signed by the licensee’s supervisors, prior to beginning the postdoctoral residency. A change in supervisor or in the supervision plan requires submission of a new supervision plan on the prescribed board form. A provisional license may be renewed one time for a period of two years upon submission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supervision plan as required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880.2(5)</w:t>
      </w:r>
      <w:r>
        <w:rPr>
          <w:rFonts w:ascii="Times New Roman" w:hAnsi="Times New Roman"/>
          <w:b w:val="false"/>
          <w:i w:val="false"/>
          <w:color w:val="000000"/>
          <w:sz w:val="22"/>
        </w:rPr>
        <w:t> </w:t>
      </w:r>
      <w:r>
        <w:rPr>
          <w:rFonts w:ascii="Times New Roman" w:hAnsi="Times New Roman"/>
          <w:b w:val="false"/>
          <w:i/>
          <w:color w:val="000000"/>
          <w:sz w:val="22"/>
        </w:rPr>
        <w:t xml:space="preserve">Certified health service provider in psychology.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health service provider in psychology. </w:t>
      </w:r>
      <w:r>
        <w:rPr>
          <w:rFonts w:ascii="Times New Roman" w:hAnsi="Times New Roman"/>
          <w:b w:val="false"/>
          <w:i w:val="false"/>
          <w:color w:val="000000"/>
          <w:sz w:val="22"/>
        </w:rPr>
        <w:t>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at least one year of clinical experience in an organized health service training program that meets the requirements of paragraph </w:t>
      </w:r>
      <w:hyperlink r:id="rId21">
        <w:r>
          <w:rPr>
            <w:rStyle w:val="Hyperlink"/>
            <w:rFonts w:ascii="Times New Roman" w:hAnsi="Times New Roman"/>
            <w:b w:val="false"/>
            <w:i w:val="false"/>
            <w:color w:val="000000"/>
            <w:sz w:val="22"/>
          </w:rPr>
          <w:t>880.2(5)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at least one year of clinical experience in a health service setting that meets the requirements for postdoctoral residency stated in rule </w:t>
      </w:r>
      <w:hyperlink r:id="rId22">
        <w:r>
          <w:rPr>
            <w:rStyle w:val="Hyperlink"/>
            <w:rFonts w:ascii="Times New Roman" w:hAnsi="Times New Roman"/>
            <w:b w:val="false"/>
            <w:i w:val="false"/>
            <w:color w:val="000000"/>
            <w:sz w:val="22"/>
          </w:rPr>
          <w:t>481—880.8</w:t>
        </w:r>
      </w:hyperlink>
      <w:r>
        <w:rPr>
          <w:rFonts w:ascii="Times New Roman" w:hAnsi="Times New Roman"/>
          <w:b w:val="false"/>
          <w:i w:val="false"/>
          <w:color w:val="000000"/>
          <w:sz w:val="22"/>
        </w:rPr>
        <w:t>(154B). Alternatively, an applicant may submit verification of current registration at the doctoral level by the National Register of Health Service Psychologists to verify completion of the required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and nonrefundable application fee along with supporting documentation. 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Renew the certificate biennially at the same time as the psychology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the organized health service training program. </w:t>
      </w:r>
      <w:r>
        <w:rPr>
          <w:rFonts w:ascii="Times New Roman" w:hAnsi="Times New Roman"/>
          <w:b w:val="false"/>
          <w:i w:val="false"/>
          <w:color w:val="000000"/>
          <w:sz w:val="22"/>
        </w:rPr>
        <w:t>Internship programs in professional psychology that are accredited by the American Psychological Association (APA) or the Canadian Psychological Association (CPA) or that hold membership in the Association of Psychology Postdoctoral and Internship Centers (APPIC) are deemed approved. Applicants completing an organized health service training program that is not accredited by the APA or the CPA, or is not APPIC-designated at the time the applicant completes the training shall cause documentation to be sent from the program to establish that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the intern with a planned, programmed sequence of training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clearly designated doctoral-level staff psychologist who is responsible for the integrity and quality of the training program and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two or more doctoral-level psychologists on the staff who serve as supervisors, at least one of whom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supervision that is provided by staff members of the organized health service training program or by an affiliate of the organized health service training program who carries clinical responsibility for the cases being supervised. At least half of the internship supervision shall be provided by one or more doctoral-level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Provides training in a range of psychological assessment and treatment activities conducted directly with recipients of psychological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Ensures that trainees have a minimum of 375 hours of direct patient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Includes a minimum of two hours per week (regardless of whether the internship is completed in one year or two years) of regularly scheduled, formal, face-to-face individual supervision with the specific intent of dealing with psychological services rendered directly by the intern. There must also be at least two additional hours per week in learning activities such as case conferences involving a case in which the intern is actively involved, seminars dealing with clinical issues, cotherapy with a staff person including discussion, group supervision, and additional individual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Has training that is at the postclerkship, postpracticum, and postexternship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Has a minimum of two interns at the internship level of training during any period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Designates for internship-level trainees titles such as “intern,” “resident,” “fellow,” or other designation of trainee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Has a written statement or brochure that describes the goals and content of the internship, states clear expectations for quantity and quality of trainees’ work and is made available to prospective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Provides a minimum of 1,500 hours of training experience that shall be completed in no less than 12 months within a 24-consecutive-month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880.2(6)</w:t>
      </w:r>
      <w:r>
        <w:rPr>
          <w:rFonts w:ascii="Times New Roman" w:hAnsi="Times New Roman"/>
          <w:b w:val="false"/>
          <w:i w:val="false"/>
          <w:color w:val="000000"/>
          <w:sz w:val="22"/>
        </w:rPr>
        <w:t> </w:t>
      </w:r>
      <w:r>
        <w:rPr>
          <w:rFonts w:ascii="Times New Roman" w:hAnsi="Times New Roman"/>
          <w:b w:val="false"/>
          <w:i/>
          <w:color w:val="000000"/>
          <w:sz w:val="22"/>
        </w:rPr>
        <w:t xml:space="preserve">Exemption to licensure. </w:t>
      </w:r>
      <w:r>
        <w:rPr>
          <w:rFonts w:ascii="Times New Roman" w:hAnsi="Times New Roman"/>
          <w:b w:val="false"/>
          <w:i w:val="false"/>
          <w:color w:val="000000"/>
          <w:sz w:val="22"/>
        </w:rPr>
        <w:t xml:space="preserve">Psychologists residing outside the state of Iowa and intending to practice in Iowa under the provisions of Iowa Code section </w:t>
      </w:r>
      <w:hyperlink r:id="rId23">
        <w:r>
          <w:rPr>
            <w:rStyle w:val="Hyperlink"/>
            <w:rFonts w:ascii="Times New Roman" w:hAnsi="Times New Roman"/>
            <w:b w:val="false"/>
            <w:i w:val="false"/>
            <w:color w:val="000000"/>
            <w:sz w:val="22"/>
          </w:rPr>
          <w:t>154B.3(5)</w:t>
        </w:r>
      </w:hyperlink>
      <w:r>
        <w:rPr>
          <w:rFonts w:ascii="Times New Roman" w:hAnsi="Times New Roman"/>
          <w:b w:val="false"/>
          <w:i w:val="false"/>
          <w:color w:val="000000"/>
          <w:sz w:val="22"/>
        </w:rPr>
        <w:t xml:space="preserve"> shall complete and submit the application for the exemption to licensure and the nonrefundable licensure fee specified in rule </w:t>
      </w:r>
      <w:hyperlink r:id="rId24">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summary of the intent to practice and a verification of the license in the applicant’s jurisdiction of residence,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exemption must be issued prior to practice in Iowa. The exemption shall be valid for 10 consecutive business days or not to exceed 15 business days in any 90-day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880.2(7)</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social work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25">
        <w:r>
          <w:rPr>
            <w:rStyle w:val="Hyperlink"/>
            <w:rFonts w:ascii="Times New Roman" w:hAnsi="Times New Roman"/>
            <w:b w:val="false"/>
            <w:i w:val="false"/>
            <w:color w:val="000000"/>
            <w:sz w:val="22"/>
          </w:rPr>
          <w:t>481—507.19</w:t>
        </w:r>
      </w:hyperlink>
      <w:r>
        <w:rPr>
          <w:rFonts w:ascii="Times New Roman" w:hAnsi="Times New Roman"/>
          <w:b w:val="false"/>
          <w:i w:val="false"/>
          <w:color w:val="000000"/>
          <w:sz w:val="22"/>
        </w:rPr>
        <w:t>(147,154C).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a social worker license shall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application will be considered by the board until official copies of academic transcripts have been received by the board except as provided in paragraph </w:t>
      </w:r>
      <w:hyperlink r:id="rId26">
        <w:r>
          <w:rPr>
            <w:rStyle w:val="Hyperlink"/>
            <w:rFonts w:ascii="Times New Roman" w:hAnsi="Times New Roman"/>
            <w:b w:val="false"/>
            <w:i w:val="false"/>
            <w:color w:val="000000"/>
            <w:sz w:val="22"/>
          </w:rPr>
          <w:t>880.2(7)</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take the examination(s) provided in subrule </w:t>
      </w:r>
      <w:hyperlink r:id="rId27">
        <w:r>
          <w:rPr>
            <w:rStyle w:val="Hyperlink"/>
            <w:rFonts w:ascii="Times New Roman" w:hAnsi="Times New Roman"/>
            <w:b w:val="false"/>
            <w:i w:val="false"/>
            <w:color w:val="000000"/>
            <w:sz w:val="22"/>
          </w:rPr>
          <w:t>880.3(3)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renewal shall not be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paragraphs </w:t>
      </w:r>
      <w:hyperlink r:id="rId28">
        <w:r>
          <w:rPr>
            <w:rStyle w:val="Hyperlink"/>
            <w:rFonts w:ascii="Times New Roman" w:hAnsi="Times New Roman"/>
            <w:b w:val="false"/>
            <w:i w:val="false"/>
            <w:color w:val="000000"/>
            <w:sz w:val="22"/>
          </w:rPr>
          <w:t>880.2(7)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board will accept the ASWB Social Work Registry verification of academic transcripts and verification of licensure in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481—880.3</w:t>
      </w:r>
      <w:r>
        <w:rPr>
          <w:rFonts w:ascii="Times New Roman" w:hAnsi="Times New Roman"/>
          <w:b/>
          <w:i w:val="false"/>
          <w:color w:val="000000"/>
          <w:sz w:val="22"/>
        </w:rPr>
        <w:t xml:space="preserve">(154B,154C,154D)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880.3(1)</w:t>
      </w:r>
      <w:r>
        <w:rPr>
          <w:rFonts w:ascii="Times New Roman" w:hAnsi="Times New Roman"/>
          <w:b w:val="false"/>
          <w:i w:val="false"/>
          <w:color w:val="000000"/>
          <w:sz w:val="22"/>
        </w:rPr>
        <w:t> </w:t>
      </w:r>
      <w:r>
        <w:rPr>
          <w:rFonts w:ascii="Times New Roman" w:hAnsi="Times New Roman"/>
          <w:b w:val="false"/>
          <w:i/>
          <w:color w:val="000000"/>
          <w:sz w:val="22"/>
        </w:rPr>
        <w:t xml:space="preserve">Examination requirements for mental health counselors and marital and family therapists.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following examinations in order to qualify for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marital and family therapist license, the AMFTRB Examination in Marital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mental health counselor license, the National Clinical Mental Health Counselor Examination (NCMHCE) of the NBCC.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temporary mental health counselor license, the NCMHCE of the NBCC or the National Counselor Examination (NCE) of the NBCC.</w:t>
      </w:r>
    </w:p>
    <w:p>
      <w:pPr>
        <w:spacing w:before="0" w:after="0"/>
        <w:ind w:left="120"/>
        <w:jc w:val="both"/>
      </w:pPr>
      <w:r>
        <w:rPr>
          <w:rFonts w:ascii="Times New Roman" w:hAnsi="Times New Roman"/>
          <w:b w:val="false"/>
          <w:i w:val="false"/>
          <w:color w:val="000000"/>
          <w:sz w:val="22"/>
        </w:rPr>
        <w:t>If the NCMHCE is passed for the temporary mental health counselor license, it does not need to be taken a second time when applying for the full mental health counselor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passing score on the written examination shall be the passing point criterion established by the appropriate national testing authority at the time the test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marital and family therapist license who is requesting approval to take the licensure examination prior to graduation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29">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letter on official school letterhead sent directly from the program director to the board indicating that the applicant is in good academic standing, that the applicant will graduate from the program within three months of the date on the letter, and the applicant’s anticipated date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for a temporary or full mental health counselor license shall register for the examination directly with the NBCC.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880.3(2)</w:t>
      </w:r>
      <w:r>
        <w:rPr>
          <w:rFonts w:ascii="Times New Roman" w:hAnsi="Times New Roman"/>
          <w:b w:val="false"/>
          <w:i w:val="false"/>
          <w:color w:val="000000"/>
          <w:sz w:val="22"/>
        </w:rPr>
        <w:t> </w:t>
      </w:r>
      <w:r>
        <w:rPr>
          <w:rFonts w:ascii="Times New Roman" w:hAnsi="Times New Roman"/>
          <w:b w:val="false"/>
          <w:i/>
          <w:color w:val="000000"/>
          <w:sz w:val="22"/>
        </w:rPr>
        <w:t xml:space="preserve">Psychology examination requirements. </w:t>
      </w:r>
      <w:r>
        <w:rPr>
          <w:rFonts w:ascii="Times New Roman" w:hAnsi="Times New Roman"/>
          <w:b w:val="false"/>
          <w:i w:val="false"/>
          <w:color w:val="000000"/>
          <w:sz w:val="22"/>
        </w:rPr>
        <w:t>An applicant will pass the national examination to be eligible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to take the national examination, the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requirements of paragraphs </w:t>
      </w:r>
      <w:hyperlink r:id="rId30">
        <w:r>
          <w:rPr>
            <w:rStyle w:val="Hyperlink"/>
            <w:rFonts w:ascii="Times New Roman" w:hAnsi="Times New Roman"/>
            <w:b w:val="false"/>
            <w:i w:val="false"/>
            <w:color w:val="000000"/>
            <w:sz w:val="22"/>
          </w:rPr>
          <w:t>880.2(3)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official copies of academic transcripts sent directly from the school to the board of psychology verifying completion of a doctoral degree in psychology in accordance with subrule </w:t>
      </w:r>
      <w:hyperlink r:id="rId31">
        <w:r>
          <w:rPr>
            <w:rStyle w:val="Hyperlink"/>
            <w:rFonts w:ascii="Times New Roman" w:hAnsi="Times New Roman"/>
            <w:b w:val="false"/>
            <w:i w:val="false"/>
            <w:color w:val="000000"/>
            <w:sz w:val="22"/>
          </w:rPr>
          <w:t>880.4(4)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EPPP passing score shall be utilized as the Iowa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880.3(3)</w:t>
      </w:r>
      <w:r>
        <w:rPr>
          <w:rFonts w:ascii="Times New Roman" w:hAnsi="Times New Roman"/>
          <w:b w:val="false"/>
          <w:i w:val="false"/>
          <w:color w:val="000000"/>
          <w:sz w:val="22"/>
        </w:rPr>
        <w:t> </w:t>
      </w:r>
      <w:r>
        <w:rPr>
          <w:rFonts w:ascii="Times New Roman" w:hAnsi="Times New Roman"/>
          <w:b w:val="false"/>
          <w:i/>
          <w:color w:val="000000"/>
          <w:sz w:val="22"/>
        </w:rPr>
        <w:t xml:space="preserve">Social work 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ASWB examination at the appropriate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Bachelor-level social worker—the basic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Master-level social worker—the intermediate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Independent-level social worker—the clinical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accept only official results from the ASWB examination service that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ASWB passing score will be utilized as the Iowa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sit for the examination if the applicant meets the requirements stated in subrule </w:t>
      </w:r>
      <w:hyperlink r:id="rId32">
        <w:r>
          <w:rPr>
            <w:rStyle w:val="Hyperlink"/>
            <w:rFonts w:ascii="Times New Roman" w:hAnsi="Times New Roman"/>
            <w:b w:val="false"/>
            <w:i w:val="false"/>
            <w:color w:val="000000"/>
            <w:sz w:val="22"/>
          </w:rPr>
          <w:t>880.2(7)</w:t>
        </w:r>
      </w:hyperlink>
      <w:r>
        <w:rPr>
          <w:rFonts w:ascii="Times New Roman" w:hAnsi="Times New Roman"/>
          <w:b w:val="false"/>
          <w:i w:val="false"/>
          <w:color w:val="000000"/>
          <w:sz w:val="22"/>
        </w:rPr>
        <w:t>. Upon written request of the applicant, the board may authorize a student to sit for the examination prior to the receipt of the official transcript if the student is in the last semester of an approved master of social work program. The student shall submit an application for licensure at the master level and the fee, and, in lieu of a transcript, the student shall request that the school submit a letter directly to the board office. The letter shall state that the student is currently enrolled in a master of social work program and the student’s expected date of graduation. Upon completion of degree requirements, the applicant shall have the transcript showing the date of the degree sent directly from the school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paragraph </w:t>
      </w:r>
      <w:hyperlink r:id="rId33">
        <w:r>
          <w:rPr>
            <w:rStyle w:val="Hyperlink"/>
            <w:rFonts w:ascii="Times New Roman" w:hAnsi="Times New Roman"/>
            <w:b w:val="false"/>
            <w:i w:val="false"/>
            <w:color w:val="000000"/>
            <w:sz w:val="22"/>
          </w:rPr>
          <w:t>880.3(3)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board will accept the ASWB Social Work Registry verification of the ASWB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paragraph </w:t>
      </w:r>
      <w:hyperlink r:id="rId34">
        <w:r>
          <w:rPr>
            <w:rStyle w:val="Hyperlink"/>
            <w:rFonts w:ascii="Times New Roman" w:hAnsi="Times New Roman"/>
            <w:b w:val="false"/>
            <w:i w:val="false"/>
            <w:color w:val="000000"/>
            <w:sz w:val="22"/>
          </w:rPr>
          <w:t>880.3(3)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will accept verification of passing the state of California equivalent level licensing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481—880.4</w:t>
      </w:r>
      <w:r>
        <w:rPr>
          <w:rFonts w:ascii="Times New Roman" w:hAnsi="Times New Roman"/>
          <w:b/>
          <w:i w:val="false"/>
          <w:color w:val="000000"/>
          <w:sz w:val="22"/>
        </w:rPr>
        <w:t xml:space="preserve">(154B,154C,154D) </w:t>
      </w:r>
      <w:r>
        <w:rPr>
          <w:rFonts w:ascii="Times New Roman" w:hAnsi="Times New Roman"/>
          <w:b/>
          <w:i w:val="false"/>
          <w:color w:val="000000"/>
          <w:sz w:val="22"/>
        </w:rPr>
        <w:t xml:space="preserve">Educational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880.4(1)</w:t>
      </w:r>
      <w:r>
        <w:rPr>
          <w:rFonts w:ascii="Times New Roman" w:hAnsi="Times New Roman"/>
          <w:b w:val="false"/>
          <w:i w:val="false"/>
          <w:color w:val="000000"/>
          <w:sz w:val="22"/>
        </w:rPr>
        <w:t> </w:t>
      </w:r>
      <w:r>
        <w:rPr>
          <w:rFonts w:ascii="Times New Roman" w:hAnsi="Times New Roman"/>
          <w:b w:val="false"/>
          <w:i/>
          <w:color w:val="000000"/>
          <w:sz w:val="22"/>
        </w:rPr>
        <w:t xml:space="preserve">Educational qualifications for marital and family therapists. </w:t>
      </w:r>
      <w:r>
        <w:rPr>
          <w:rFonts w:ascii="Times New Roman" w:hAnsi="Times New Roman"/>
          <w:b w:val="false"/>
          <w:i w:val="false"/>
          <w:color w:val="000000"/>
          <w:sz w:val="22"/>
        </w:rPr>
        <w:t xml:space="preserve">The applicant must complete the required semester credit hours, or equivalent quarter hours, of graduate level coursework in each of the content areas identified in paragraph </w:t>
      </w:r>
      <w:hyperlink r:id="rId35">
        <w:r>
          <w:rPr>
            <w:rStyle w:val="Hyperlink"/>
            <w:rFonts w:ascii="Times New Roman" w:hAnsi="Times New Roman"/>
            <w:b w:val="false"/>
            <w:i w:val="false"/>
            <w:color w:val="000000"/>
            <w:sz w:val="22"/>
          </w:rPr>
          <w:t>880.4(1)</w:t>
        </w:r>
      </w:hyperlink>
      <w:r>
        <w:rPr>
          <w:rFonts w:ascii="Times New Roman" w:hAnsi="Times New Roman"/>
          <w:b w:val="false"/>
          <w:i/>
          <w:color w:val="000000"/>
          <w:sz w:val="22"/>
        </w:rPr>
        <w:t>“b”</w:t>
      </w:r>
      <w:r>
        <w:rPr>
          <w:rFonts w:ascii="Times New Roman" w:hAnsi="Times New Roman"/>
          <w:b w:val="false"/>
          <w:i w:val="false"/>
          <w:color w:val="000000"/>
          <w:sz w:val="22"/>
        </w:rPr>
        <w:t>; no course may be used more than once. The applicant must present proof of completion of the following educational requirements for licensure as a marital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80 quarter hours or equivalent) or a doctoral degree in marital and family therapy from a program accredited by the COAMFTE from a college or university accredited by an agency recognized by the United States Department of Education. Applicants who entered a program of study prior to July 1, 2010,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of 60 semester hours (or 80 quarter hours or equivalent) or a doctoral degree in marital and family therapy, behavioral science, or a counseling-related field from a college or university accredited by an agency recognized by the United States Department of Education, which is content-equivalent to a graduate degree in marital and family therapy. Applicants who entered a program of study prior to July 1, 2010, must present with the application an official transcript verifying completion of a master’s degree of 45 semester hours or the equivalent. Graduates from non-COAMFTE-accredited marital and family therapy programs shall provide an equivalency evaluation of the graduates’ educational credentials by the CCE, website </w:t>
      </w:r>
      <w:hyperlink r:id="rId36">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880.4(2)</w:t>
      </w:r>
      <w:r>
        <w:rPr>
          <w:rFonts w:ascii="Times New Roman" w:hAnsi="Times New Roman"/>
          <w:b w:val="false"/>
          <w:i w:val="false"/>
          <w:color w:val="000000"/>
          <w:sz w:val="22"/>
        </w:rPr>
        <w:t> </w:t>
      </w:r>
      <w:r>
        <w:rPr>
          <w:rFonts w:ascii="Times New Roman" w:hAnsi="Times New Roman"/>
          <w:b w:val="false"/>
          <w:i/>
          <w:color w:val="000000"/>
          <w:sz w:val="22"/>
        </w:rPr>
        <w:t xml:space="preserve">Educational qualifications for mental health counselors. </w:t>
      </w:r>
      <w:r>
        <w:rPr>
          <w:rFonts w:ascii="Times New Roman" w:hAnsi="Times New Roman"/>
          <w:b w:val="false"/>
          <w:i w:val="false"/>
          <w:color w:val="000000"/>
          <w:sz w:val="22"/>
        </w:rPr>
        <w:t xml:space="preserve">The applicant must complete three semester credit hours, or equivalent quarter hours, of graduate level coursework in each of the content areas identified in paragraph </w:t>
      </w:r>
      <w:hyperlink r:id="rId37">
        <w:r>
          <w:rPr>
            <w:rStyle w:val="Hyperlink"/>
            <w:rFonts w:ascii="Times New Roman" w:hAnsi="Times New Roman"/>
            <w:b w:val="false"/>
            <w:i w:val="false"/>
            <w:color w:val="000000"/>
            <w:sz w:val="22"/>
          </w:rPr>
          <w:t>880.4(2)</w:t>
        </w:r>
      </w:hyperlink>
      <w:r>
        <w:rPr>
          <w:rFonts w:ascii="Times New Roman" w:hAnsi="Times New Roman"/>
          <w:b w:val="false"/>
          <w:i/>
          <w:color w:val="000000"/>
          <w:sz w:val="22"/>
        </w:rPr>
        <w:t>“b”</w:t>
      </w:r>
      <w:r>
        <w:rPr>
          <w:rFonts w:ascii="Times New Roman" w:hAnsi="Times New Roman"/>
          <w:b w:val="false"/>
          <w:i w:val="false"/>
          <w:color w:val="000000"/>
          <w:sz w:val="22"/>
        </w:rPr>
        <w:t>; no course may be used to fulfill more than one content area. The applicant must present proof of completion of the following educational requirements for licensure as a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equivalent quarter hours) or a doctoral degree in counseling with emphasis in mental health counseling from a mental health counseling program accredited by the CACREP from a college or university accredited by an agency recognized by the United States Department of Education. Applicants who entered a program of study prior to July 1, 2012,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or a doctoral degree from a college or university accredited by an agency recognized by the United States Department of Education that is content-equivalent to a master’s degree in counseling with emphasis in mental health counseling. Graduates from non-CACREP accredited mental health counseling programs shall provide an equivalency evaluation of their educational credentials by the CCE, website </w:t>
      </w:r>
      <w:hyperlink r:id="rId38">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880.4(3)</w:t>
      </w:r>
      <w:r>
        <w:rPr>
          <w:rFonts w:ascii="Times New Roman" w:hAnsi="Times New Roman"/>
          <w:b w:val="false"/>
          <w:i w:val="false"/>
          <w:color w:val="000000"/>
          <w:sz w:val="22"/>
        </w:rPr>
        <w:t> </w:t>
      </w:r>
      <w:r>
        <w:rPr>
          <w:rFonts w:ascii="Times New Roman" w:hAnsi="Times New Roman"/>
          <w:b w:val="false"/>
          <w:i/>
          <w:color w:val="000000"/>
          <w:sz w:val="22"/>
        </w:rPr>
        <w:t xml:space="preserve">Foreign-trained marital and family therapists or mental health counselors. </w:t>
      </w:r>
      <w:r>
        <w:rPr>
          <w:rFonts w:ascii="Times New Roman" w:hAnsi="Times New Roman"/>
          <w:b w:val="false"/>
          <w:i w:val="false"/>
          <w:color w:val="000000"/>
          <w:sz w:val="22"/>
        </w:rPr>
        <w:t>Foreign-trained marital and family therapists or mental health counselors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following: International Education Research Foundation, Inc., Credentials Evaluation Service, P.O. Box 3665, Culver City, CA 90231-3665; telephone 310.258.9451; website </w:t>
      </w:r>
      <w:hyperlink r:id="rId39">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40">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A candidate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880.4(4)</w:t>
      </w:r>
      <w:r>
        <w:rPr>
          <w:rFonts w:ascii="Times New Roman" w:hAnsi="Times New Roman"/>
          <w:b w:val="false"/>
          <w:i w:val="false"/>
          <w:color w:val="000000"/>
          <w:sz w:val="22"/>
        </w:rPr>
        <w:t> </w:t>
      </w:r>
      <w:r>
        <w:rPr>
          <w:rFonts w:ascii="Times New Roman" w:hAnsi="Times New Roman"/>
          <w:b w:val="false"/>
          <w:i/>
          <w:color w:val="000000"/>
          <w:sz w:val="22"/>
        </w:rPr>
        <w:t xml:space="preserve">Psychology educational qualifications. </w:t>
      </w:r>
      <w:r>
        <w:rPr>
          <w:rFonts w:ascii="Times New Roman" w:hAnsi="Times New Roman"/>
          <w:b w:val="false"/>
          <w:i w:val="false"/>
          <w:color w:val="000000"/>
          <w:sz w:val="22"/>
        </w:rPr>
        <w:t>An applicant for licensure to practice as a psychologist shall possess a doctoral degree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an applicant’s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from which the doctoral degree in psychology is granted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Accredited by the APA;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Accredited by the Canadian Psychological Association;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Designated by the ASPPB/National Register;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hold current board certification from the American Board of Professional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must possess a postdoctoral respecialization certificate from a program accredited by the APA.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psychologists who possess a doctoral degree in psychology and who do not meet the requirements of paragraph </w:t>
      </w:r>
      <w:hyperlink r:id="rId41">
        <w:r>
          <w:rPr>
            <w:rStyle w:val="Hyperlink"/>
            <w:rFonts w:ascii="Times New Roman" w:hAnsi="Times New Roman"/>
            <w:b w:val="false"/>
            <w:i w:val="false"/>
            <w:color w:val="000000"/>
            <w:sz w:val="22"/>
          </w:rPr>
          <w:t>880.4(4)</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National Register of Health Service Psychologists, 1200 New York Avenue NW, Suite 800, Washington, D.C. 20005, telephone 202.783.7663, website </w:t>
      </w:r>
      <w:hyperlink r:id="rId42">
        <w:r>
          <w:rPr>
            <w:rStyle w:val="Hyperlink"/>
            <w:rFonts w:ascii="Times New Roman" w:hAnsi="Times New Roman"/>
            <w:b w:val="false"/>
            <w:i w:val="false"/>
            <w:color w:val="000000"/>
            <w:sz w:val="22"/>
            <w:u w:val="single"/>
          </w:rPr>
          <w:t>www.nationalregister.org</w:t>
        </w:r>
      </w:hyperlink>
      <w:r>
        <w:rPr>
          <w:rFonts w:ascii="Times New Roman" w:hAnsi="Times New Roman"/>
          <w:b w:val="false"/>
          <w:i w:val="false"/>
          <w:color w:val="000000"/>
          <w:sz w:val="22"/>
        </w:rPr>
        <w:t xml:space="preserve">, or by an evaluation service with membership in the National Association of Credential Evaluation Services at </w:t>
      </w:r>
      <w:hyperlink r:id="rId43">
        <w:r>
          <w:rPr>
            <w:rStyle w:val="Hyperlink"/>
            <w:rFonts w:ascii="Times New Roman" w:hAnsi="Times New Roman"/>
            <w:b w:val="false"/>
            <w:i w:val="false"/>
            <w:color w:val="000000"/>
            <w:sz w:val="22"/>
            <w:u w:val="single"/>
          </w:rPr>
          <w:t>www.naces.org</w:t>
        </w:r>
      </w:hyperlink>
      <w:r>
        <w:rPr>
          <w:rFonts w:ascii="Times New Roman" w:hAnsi="Times New Roman"/>
          <w:b w:val="false"/>
          <w:i w:val="false"/>
          <w:color w:val="000000"/>
          <w:sz w:val="22"/>
        </w:rPr>
        <w:t xml:space="preserve">. A certified translation of documents submitted in a language other than English shall be provided. The candidate will bear the expense of the curriculum evaluation and translation of application documents. The educational credentials must be equivalent to programs stated in paragraph </w:t>
      </w:r>
      <w:hyperlink r:id="rId44">
        <w:r>
          <w:rPr>
            <w:rStyle w:val="Hyperlink"/>
            <w:rFonts w:ascii="Times New Roman" w:hAnsi="Times New Roman"/>
            <w:b w:val="false"/>
            <w:i w:val="false"/>
            <w:color w:val="000000"/>
            <w:sz w:val="22"/>
          </w:rPr>
          <w:t>880.4(4)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evidence of meeting all other requirements for licensure stated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880.4(5)</w:t>
      </w:r>
      <w:r>
        <w:rPr>
          <w:rFonts w:ascii="Times New Roman" w:hAnsi="Times New Roman"/>
          <w:b w:val="false"/>
          <w:i w:val="false"/>
          <w:color w:val="000000"/>
          <w:sz w:val="22"/>
        </w:rPr>
        <w:t> </w:t>
      </w:r>
      <w:r>
        <w:rPr>
          <w:rFonts w:ascii="Times New Roman" w:hAnsi="Times New Roman"/>
          <w:b w:val="false"/>
          <w:i/>
          <w:color w:val="000000"/>
          <w:sz w:val="22"/>
        </w:rPr>
        <w:t xml:space="preserve">Social work 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 An applicant for a license will possess a bachelor’s degree in social work from a college or university accredited by the Council on Social Work Education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Master and independent level social worker. An applicant for a license will present evidence satisfactory to the board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Possesses a master’s degree in social work from a college or university accredited by the Council on Social Work Education at the time of graduation;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social work from a college or university approved by the board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social workers shall provide an equivalency evaluation of their educational credentials by International Education Research Foundation, Inc., Credentials Evaluation Service, P.O. Box 3665, Culver City, California 90231-3665, telephone 310.258.9451, website </w:t>
      </w:r>
      <w:hyperlink r:id="rId45">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46">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xml:space="preserve">; obtain a certificate of equivalency from the Council on Social Work Education, 1701 Duke Street, Suite 200, Alexandria, Virginia 22314-3457, telephone 703.683.8080, website </w:t>
      </w:r>
      <w:hyperlink r:id="rId47">
        <w:r>
          <w:rPr>
            <w:rStyle w:val="Hyperlink"/>
            <w:rFonts w:ascii="Times New Roman" w:hAnsi="Times New Roman"/>
            <w:b w:val="false"/>
            <w:i w:val="false"/>
            <w:color w:val="000000"/>
            <w:sz w:val="22"/>
            <w:u w:val="single"/>
          </w:rPr>
          <w:t>www.cswe.org</w:t>
        </w:r>
      </w:hyperlink>
      <w:r>
        <w:rPr>
          <w:rFonts w:ascii="Times New Roman" w:hAnsi="Times New Roman"/>
          <w:b w:val="false"/>
          <w:i w:val="false"/>
          <w:color w:val="000000"/>
          <w:sz w:val="22"/>
        </w:rPr>
        <w:t xml:space="preserve">; or obtain a certificate of equivalency from an evaluation service with membership in NACES at </w:t>
      </w:r>
      <w:hyperlink r:id="rId48">
        <w:r>
          <w:rPr>
            <w:rStyle w:val="Hyperlink"/>
            <w:rFonts w:ascii="Times New Roman" w:hAnsi="Times New Roman"/>
            <w:b w:val="false"/>
            <w:i w:val="false"/>
            <w:color w:val="000000"/>
            <w:sz w:val="22"/>
            <w:u w:val="single"/>
          </w:rPr>
          <w:t>www.naces.org</w:t>
        </w:r>
      </w:hyperlink>
      <w:r>
        <w:rPr>
          <w:rFonts w:ascii="Times New Roman" w:hAnsi="Times New Roman"/>
          <w:b w:val="false"/>
          <w:i w:val="false"/>
          <w:color w:val="000000"/>
          <w:sz w:val="22"/>
        </w:rPr>
        <w:t xml:space="preserve"> or a credential evaluation service approved by the board. The professional curriculum must be equivalent to that stated in these rules. The applicant shall bear the expense of the curriculum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481—880.5</w:t>
      </w:r>
      <w:r>
        <w:rPr>
          <w:rFonts w:ascii="Times New Roman" w:hAnsi="Times New Roman"/>
          <w:b/>
          <w:i w:val="false"/>
          <w:color w:val="000000"/>
          <w:sz w:val="22"/>
        </w:rPr>
        <w:t xml:space="preserve">(154D) </w:t>
      </w:r>
      <w:r>
        <w:rPr>
          <w:rFonts w:ascii="Times New Roman" w:hAnsi="Times New Roman"/>
          <w:b/>
          <w:i w:val="false"/>
          <w:color w:val="000000"/>
          <w:sz w:val="22"/>
        </w:rPr>
        <w:t xml:space="preserve">Licensure by endorsement for mental health counselors and marital and family therapists. </w:t>
      </w:r>
      <w:r>
        <w:rPr>
          <w:rFonts w:ascii="Times New Roman" w:hAnsi="Times New Roman"/>
          <w:b w:val="false"/>
          <w:i w:val="false"/>
          <w:color w:val="000000"/>
          <w:sz w:val="22"/>
        </w:rPr>
        <w:t xml:space="preserve">An applicant who has been a licensed marriage and family therapist or mental health counselor under the laws of another jurisdiction may file an application for licensure by endorsement with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880.5(1)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paragraph </w:t>
      </w:r>
      <w:hyperlink r:id="rId49">
        <w:r>
          <w:rPr>
            <w:rStyle w:val="Hyperlink"/>
            <w:rFonts w:ascii="Times New Roman" w:hAnsi="Times New Roman"/>
            <w:b w:val="false"/>
            <w:i w:val="false"/>
            <w:color w:val="000000"/>
            <w:sz w:val="22"/>
          </w:rPr>
          <w:t>880.2(1)</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5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481—880.6</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for psychologists. </w:t>
      </w:r>
      <w:r>
        <w:rPr>
          <w:rFonts w:ascii="Times New Roman" w:hAnsi="Times New Roman"/>
          <w:b w:val="false"/>
          <w:i w:val="false"/>
          <w:color w:val="000000"/>
          <w:sz w:val="22"/>
        </w:rPr>
        <w:t xml:space="preserve">An applicant who possesses a doctoral degree in psychology and has been a licensed psychologist at the doctoral level under the laws of another jurisdiction may file an application for licensure by endorsement with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880.6(1)</w:t>
      </w:r>
      <w:r>
        <w:rPr>
          <w:rFonts w:ascii="Times New Roman" w:hAnsi="Times New Roman"/>
          <w:b w:val="false"/>
          <w:i w:val="false"/>
          <w:color w:val="000000"/>
          <w:sz w:val="22"/>
        </w:rPr>
        <w:t> </w:t>
      </w:r>
      <w:r>
        <w:rPr>
          <w:rFonts w:ascii="Times New Roman" w:hAnsi="Times New Roman"/>
          <w:b w:val="false"/>
          <w:i w:val="false"/>
          <w:color w:val="000000"/>
          <w:sz w:val="22"/>
        </w:rPr>
        <w:t>The board may license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completed application for licensure and pay the nonrefundable licensure fee specified in rule </w:t>
      </w:r>
      <w:hyperlink r:id="rId51">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license from the jurisdiction in which the applicant has most recently been licensed, and additional verifications if necessary to verify at least three years of an independent license as described in paragraph </w:t>
      </w:r>
      <w:hyperlink r:id="rId52">
        <w:r>
          <w:rPr>
            <w:rStyle w:val="Hyperlink"/>
            <w:rFonts w:ascii="Times New Roman" w:hAnsi="Times New Roman"/>
            <w:b w:val="false"/>
            <w:i w:val="false"/>
            <w:color w:val="000000"/>
            <w:sz w:val="22"/>
          </w:rPr>
          <w:t>880.6(1)</w:t>
        </w:r>
      </w:hyperlink>
      <w:r>
        <w:rPr>
          <w:rFonts w:ascii="Times New Roman" w:hAnsi="Times New Roman"/>
          <w:b w:val="false"/>
          <w:i/>
          <w:color w:val="000000"/>
          <w:sz w:val="22"/>
        </w:rPr>
        <w:t>“c”</w:t>
      </w:r>
      <w:r>
        <w:rPr>
          <w:rFonts w:ascii="Times New Roman" w:hAnsi="Times New Roman"/>
          <w:b w:val="false"/>
          <w:i w:val="false"/>
          <w:color w:val="000000"/>
          <w:sz w:val="22"/>
        </w:rPr>
        <w:t xml:space="preserve">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a current Certificate of Professional Qualification (CPQ) issued by the ASPPB, or verification of a doctoral degree in psychology and an independent license to practice psychology in another jurisdiction for at least three years with no disciplinary history. Except as stated in paragraph </w:t>
      </w:r>
      <w:hyperlink r:id="rId53">
        <w:r>
          <w:rPr>
            <w:rStyle w:val="Hyperlink"/>
            <w:rFonts w:ascii="Times New Roman" w:hAnsi="Times New Roman"/>
            <w:b w:val="false"/>
            <w:i w:val="false"/>
            <w:color w:val="000000"/>
            <w:sz w:val="22"/>
          </w:rPr>
          <w:t>880.4(4)</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applicants providing certification or verification are deemed to have met the requirements stated in subparagraphs </w:t>
      </w:r>
      <w:hyperlink r:id="rId54">
        <w:r>
          <w:rPr>
            <w:rStyle w:val="Hyperlink"/>
            <w:rFonts w:ascii="Times New Roman" w:hAnsi="Times New Roman"/>
            <w:b w:val="false"/>
            <w:i w:val="false"/>
            <w:color w:val="000000"/>
            <w:sz w:val="22"/>
          </w:rPr>
          <w:t>880.6(1)</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w:t>
      </w:r>
      <w:r>
        <w:rPr>
          <w:rFonts w:ascii="Times New Roman" w:hAnsi="Times New Roman"/>
          <w:b w:val="false"/>
          <w:i/>
          <w:color w:val="000000"/>
          <w:sz w:val="22"/>
        </w:rPr>
        <w:t>“c”</w:t>
      </w:r>
      <w:r>
        <w:rPr>
          <w:rFonts w:ascii="Times New Roman" w:hAnsi="Times New Roman"/>
          <w:b w:val="false"/>
          <w:i w:val="false"/>
          <w:color w:val="000000"/>
          <w:sz w:val="22"/>
        </w:rPr>
        <w:t>(2). The board may license by endorsement any other applicant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the official EPPP score sent directly to the board from the ASPPB or verification of the EPPP score sent directly from the state of initial licensure. The recommended passing score established by the ASPPB shall be considered passing.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substantially equivalent to those required in Iowa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Official copies of academic transcripts that have been sent directly from the school;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Satisfactory evidence of the applicant’s qualifications in writing on the prescribed forms by the applicant’s supervisors. If verification of professional experience is not available, the board may consider submission of documentation from the jurisdiction in which the applicant is currently licensed or equivalent documentation of supervision;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official copy of one of the following certifications sent directly to the board from the certifying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Current credentialing at the doctoral level as a health service provider in psychology by the National Register of Health Service Psychologists.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Board certification by the American Board of Professional Psychology that was originally granted on or after January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880.6(2)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55">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481—880.7</w:t>
      </w:r>
      <w:r>
        <w:rPr>
          <w:rFonts w:ascii="Times New Roman" w:hAnsi="Times New Roman"/>
          <w:b/>
          <w:i w:val="false"/>
          <w:color w:val="000000"/>
          <w:sz w:val="22"/>
        </w:rPr>
        <w:t xml:space="preserve">(154C,154D) </w:t>
      </w:r>
      <w:r>
        <w:rPr>
          <w:rFonts w:ascii="Times New Roman" w:hAnsi="Times New Roman"/>
          <w:b/>
          <w:i w:val="false"/>
          <w:color w:val="000000"/>
          <w:sz w:val="22"/>
        </w:rPr>
        <w:t xml:space="preserve">Supervised clinical experience. </w:t>
      </w:r>
      <w:r>
        <w:rPr>
          <w:rFonts w:ascii="Times New Roman" w:hAnsi="Times New Roman"/>
          <w:b w:val="false"/>
          <w:i w:val="false"/>
          <w:color w:val="000000"/>
          <w:sz w:val="22"/>
        </w:rPr>
        <w:t>An applicant for licensure as a mental health counselor, marital and family therapist, or independent level social worker must complete a supervised clinical experience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supervised clinical experience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supervised clinical experience cannot begin until after all graduate coursework has been completed with the exception of the thesis.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supervised clinical experience must be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The supervised clinical experience must consist of at least 3,000 hours of total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client hours. </w:t>
      </w:r>
      <w:r>
        <w:rPr>
          <w:rFonts w:ascii="Times New Roman" w:hAnsi="Times New Roman"/>
          <w:b w:val="false"/>
          <w:i w:val="false"/>
          <w:color w:val="000000"/>
          <w:sz w:val="22"/>
        </w:rPr>
        <w:t>The supervised clinical experience will consist of at least 1,500 hours of direct client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supervision hours. </w:t>
      </w:r>
      <w:r>
        <w:rPr>
          <w:rFonts w:ascii="Times New Roman" w:hAnsi="Times New Roman"/>
          <w:b w:val="false"/>
          <w:i w:val="false"/>
          <w:color w:val="000000"/>
          <w:sz w:val="22"/>
        </w:rPr>
        <w:t>The supervised clinical experience will consist of at least 110 hours of direct supervision equitably distributed throughout the supervised clinical experience. A maximum of 50 hours of direct supervision may be obtained through group supervision. Direct supervision can occur in person or by using videoconferencing. After 110 hours of direct supervision are complete, ongoing direct supervision will continue to occur for the remainder of the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supervisors. </w:t>
      </w:r>
      <w:r>
        <w:rPr>
          <w:rFonts w:ascii="Times New Roman" w:hAnsi="Times New Roman"/>
          <w:b w:val="false"/>
          <w:i w:val="false"/>
          <w:color w:val="000000"/>
          <w:sz w:val="22"/>
        </w:rPr>
        <w:t>A supervisee may utilize a maximum of four supervisors at any given time. A supervisee is responsible for notifying each supervisor if another supervisor is also being utilized to allow for coordination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supervisees. </w:t>
      </w:r>
      <w:r>
        <w:rPr>
          <w:rFonts w:ascii="Times New Roman" w:hAnsi="Times New Roman"/>
          <w:b w:val="false"/>
          <w:i w:val="false"/>
          <w:color w:val="000000"/>
          <w:sz w:val="22"/>
        </w:rPr>
        <w:t>A supervisor will determine the number of supervisees who can be supervised safely and competently and will not exceed that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supervised clinical experience must involve performing psychosocial assessments, diagnostic practice using the current edition of the Diagnostic and Statistical Manual of Mental Disorders (DSM-5-TR) published March 2022, and providing treatment, including the establishment of treatment goals, psychosocial therapy using evidence-based therapeutic modalities, and differential treatment planning. The supervised clinical experience will prepare the supervisee for independent practice and must include training on practice management, ethical standards, legal and regulatory requirements, documentation, coordination of care,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880.7(2)</w:t>
      </w:r>
      <w:r>
        <w:rPr>
          <w:rFonts w:ascii="Times New Roman" w:hAnsi="Times New Roman"/>
          <w:b w:val="false"/>
          <w:i w:val="false"/>
          <w:color w:val="000000"/>
          <w:sz w:val="22"/>
        </w:rPr>
        <w:t> </w:t>
      </w:r>
      <w:r>
        <w:rPr>
          <w:rFonts w:ascii="Times New Roman" w:hAnsi="Times New Roman"/>
          <w:b w:val="false"/>
          <w:i/>
          <w:color w:val="000000"/>
          <w:sz w:val="22"/>
        </w:rPr>
        <w:t xml:space="preserve">Eligible supervisors. </w:t>
      </w:r>
      <w:r>
        <w:rPr>
          <w:rFonts w:ascii="Times New Roman" w:hAnsi="Times New Roman"/>
          <w:b w:val="false"/>
          <w:i w:val="false"/>
          <w:color w:val="000000"/>
          <w:sz w:val="22"/>
        </w:rPr>
        <w:t xml:space="preserve">A supervisor must satisfy all of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license as an independent level social worker, mental health counselor, or marital and family therapist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minimum of three years of independent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a six-hour continuing education course in supervision or one graduate-level course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applicable ethical code and licensing rules governing the supervisee. Any request for a supervisor who does not meet these requirements must be approved by the board before supervision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880.7(3)</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beginning supervision, the supervisee will submit a written supervision plan to the board using the current form published by the board. The supervisee will also submit a written supervision plan to the board prior to beginning supervision with a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880.7(4)</w:t>
      </w:r>
      <w:r>
        <w:rPr>
          <w:rFonts w:ascii="Times New Roman" w:hAnsi="Times New Roman"/>
          <w:b w:val="false"/>
          <w:i w:val="false"/>
          <w:color w:val="000000"/>
          <w:sz w:val="22"/>
        </w:rPr>
        <w:t> </w:t>
      </w:r>
      <w:r>
        <w:rPr>
          <w:rFonts w:ascii="Times New Roman" w:hAnsi="Times New Roman"/>
          <w:b w:val="false"/>
          <w:i/>
          <w:color w:val="000000"/>
          <w:sz w:val="22"/>
        </w:rPr>
        <w:t xml:space="preserve">Supervision report. </w:t>
      </w:r>
      <w:r>
        <w:rPr>
          <w:rFonts w:ascii="Times New Roman" w:hAnsi="Times New Roman"/>
          <w:b w:val="false"/>
          <w:i w:val="false"/>
          <w:color w:val="000000"/>
          <w:sz w:val="22"/>
        </w:rPr>
        <w:t>When supervision is complete, or when a supervisor ceases providing supervision to the supervisee, the supervisee will ensure a completed supervision report using the current form published by the board is submitted to the board. If the supervisor reports that the supervisee is not adequately prepared for independent licensure, or reports violations of the board’s rules or applicable ethical code, the board may require the supervisee to complete additional supervision or training as deemed appropriate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880.7(5)</w:t>
      </w:r>
      <w:r>
        <w:rPr>
          <w:rFonts w:ascii="Times New Roman" w:hAnsi="Times New Roman"/>
          <w:b w:val="false"/>
          <w:i w:val="false"/>
          <w:color w:val="000000"/>
          <w:sz w:val="22"/>
        </w:rPr>
        <w:t> </w:t>
      </w:r>
      <w:r>
        <w:rPr>
          <w:rFonts w:ascii="Times New Roman" w:hAnsi="Times New Roman"/>
          <w:b w:val="false"/>
          <w:i/>
          <w:color w:val="000000"/>
          <w:sz w:val="22"/>
        </w:rPr>
        <w:t xml:space="preserve">Supervised clinical experience in other states. </w:t>
      </w:r>
      <w:r>
        <w:rPr>
          <w:rFonts w:ascii="Times New Roman" w:hAnsi="Times New Roman"/>
          <w:b w:val="false"/>
          <w:i w:val="false"/>
          <w:color w:val="000000"/>
          <w:sz w:val="22"/>
        </w:rPr>
        <w:t>An applicant who completed some or all of the supervised clinical experience in another state without obtaining licensure in that state should contact the board to determine whether some or all of the supervised clinical experience that has been completed can be used to qualify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880.7(6)</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Any new or additional requirements imposed by this rule do not apply to supervision that started prior to July 20,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481—880.8</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Psychology postdoctoral residency.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880.8(1)</w:t>
      </w:r>
      <w:r>
        <w:rPr>
          <w:rFonts w:ascii="Times New Roman" w:hAnsi="Times New Roman"/>
          <w:b w:val="false"/>
          <w:i w:val="false"/>
          <w:color w:val="000000"/>
          <w:sz w:val="22"/>
        </w:rPr>
        <w:t> </w:t>
      </w:r>
      <w:r>
        <w:rPr>
          <w:rFonts w:ascii="Times New Roman" w:hAnsi="Times New Roman"/>
          <w:b w:val="false"/>
          <w:i w:val="false"/>
          <w:color w:val="000000"/>
          <w:sz w:val="22"/>
        </w:rPr>
        <w:t>The postdoctoral residency may begin after all academic requirements for the doctoral degree, including completion of the predoctoral internship, have been completed. The postdoctoral residency shall consist of a minimum of 1,500 hours that are completed in no less than ten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880.8(2)</w:t>
      </w:r>
      <w:r>
        <w:rPr>
          <w:rFonts w:ascii="Times New Roman" w:hAnsi="Times New Roman"/>
          <w:b w:val="false"/>
          <w:i w:val="false"/>
          <w:color w:val="000000"/>
          <w:sz w:val="22"/>
        </w:rPr>
        <w:t> </w:t>
      </w:r>
      <w:r>
        <w:rPr>
          <w:rFonts w:ascii="Times New Roman" w:hAnsi="Times New Roman"/>
          <w:b w:val="false"/>
          <w:i w:val="false"/>
          <w:color w:val="000000"/>
          <w:sz w:val="22"/>
        </w:rPr>
        <w:t>During the postdoctoral residency, the supervisee will competently apply the principles of psychology under the supervision of a licensed psychologist who is actively licensed in the jurisdiction where the supervision occurs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complete a supervision plan using the form provided by the board. The supervision plan must be submitted to the board if the supervisee is applying for or utilizing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supervisor will not have more than three concurrent full-time supervisees or the equivalent in part-time supervisees. Full-time is defined as 40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meet individually in person or via videoconferencing during each week in which postdoctoral residency hours are accrued, for no less than a total of 45 hours during the postdoctoral residency. Group supervision hours cannot count toward the 45 hours of individual supervision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supervisor will provide supervision at all times, which means the supervisor will be readily available on site, or via electronic or telephonic means, at all times when the supervisee is providing services so that the supervisee may contact the supervisor for advice, assistance, or instruction. A supervisor will identify one or more licensed mental health providers who can be contacted for advice, assistance, or instruction during times in which the supervisor will not be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have a crisis plan in place any time the supervisee is providing services and the supervisor is not on site in the same physical setting as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supervisor will establish and maintain a level of supervisory contact consistent with established professional standards and be fully accountable in the event that professional, ethical or legal issues are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supervisor will provide training that is appropriate to the functions to be performed. The supervisee shall have the background, training, and experience that is appropriate to the functions performed. The supervisor shall not permit the supervisee to engage in any psychological practice that the supervisor cannot perform competently.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supervisor and supervisee will ensure clients are informed regarding the supervisee’s status and the sharing of information between the supervisee and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supervisor will have reasonable access to the clinical records corresponding to the work being supervised. The supervisor will countersign all written reports, clinical records and clinical communications as “Reviewed and Approved” by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services will be offered in the name of the supervisor. The supervisee and supervisor will ensure that the supervisee uses a title in accordance with rule </w:t>
      </w:r>
      <w:hyperlink r:id="rId56">
        <w:r>
          <w:rPr>
            <w:rStyle w:val="Hyperlink"/>
            <w:rFonts w:ascii="Times New Roman" w:hAnsi="Times New Roman"/>
            <w:b w:val="false"/>
            <w:i w:val="false"/>
            <w:color w:val="000000"/>
            <w:sz w:val="22"/>
          </w:rPr>
          <w:t>481—880.17</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fee schedule and receipt of payment will remain the sole domain of the supervisor or employing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supervisor will maintain an ongoing record of supervision that details the types of activities in which the supervisee is engaged, the level of the supervisee’s competence in each, and the type and outcome of all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supervisor is responsible for determining the competency of the work performed by the supervisee and must honestly and accurately complete the supervision report at the conclusion of providing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481—880.9</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Psychologists’ supervision of persons other than postdoctoral residents in a practice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880.9(1)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when a psychologist is supervising individuals who are not licensed or who are provisionally licensed and completing the predoctoral internship. This rule does not apply to supervision of an individual completing a postdoctoral residency in accordance with rule </w:t>
      </w:r>
      <w:hyperlink r:id="rId57">
        <w:r>
          <w:rPr>
            <w:rStyle w:val="Hyperlink"/>
            <w:rFonts w:ascii="Times New Roman" w:hAnsi="Times New Roman"/>
            <w:b w:val="false"/>
            <w:i w:val="false"/>
            <w:color w:val="000000"/>
            <w:sz w:val="22"/>
          </w:rPr>
          <w:t>481—880.17</w:t>
        </w:r>
      </w:hyperlink>
      <w:r>
        <w:rPr>
          <w:rFonts w:ascii="Times New Roman" w:hAnsi="Times New Roman"/>
          <w:b w:val="false"/>
          <w:i w:val="false"/>
          <w:color w:val="000000"/>
          <w:sz w:val="22"/>
        </w:rPr>
        <w:t>(147,154B), regardless of whether the individual is provisionally licensed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880.9(2)</w:t>
      </w:r>
      <w:r>
        <w:rPr>
          <w:rFonts w:ascii="Times New Roman" w:hAnsi="Times New Roman"/>
          <w:b w:val="false"/>
          <w:i w:val="false"/>
          <w:color w:val="000000"/>
          <w:sz w:val="22"/>
        </w:rPr>
        <w:t> </w:t>
      </w:r>
      <w:r>
        <w:rPr>
          <w:rFonts w:ascii="Times New Roman" w:hAnsi="Times New Roman"/>
          <w:b w:val="false"/>
          <w:i w:val="false"/>
          <w:color w:val="000000"/>
          <w:sz w:val="22"/>
        </w:rPr>
        <w:t>The supervising psychologist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vested with administrative control over the functioning of assistants in order to maintain ultimate responsibility for the welfare of every client. When the employer is a person other than the supervising psychologist, the supervising psychologist must have direct input into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sufficient knowledge of all clients, including face-to-face contact when necessary, in order to plan effective service delivery procedures. The progress of the work will be monitored through such means as will ensure that full legal and professional responsibility can be accepted by the supervisor for all services rendered. Supervisors will also be available for emergency consultation and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work assignments that are commensurate with the skills of the supervisee. All procedures will be planned in consultation with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in the same physical setting as the supervisee unless the supervisee is receiving formal training pursuant to the requirements for licensure as a psychologist. For supervisees working off site while receiving formal licensure training, ensure the off-site location has a licensed mental health provider or primary care provider on site whenever the supervisee is working for purposes of providing emergency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public announcement of services and fees; contact with laypersons or the professional community will be offered only by or in the name of the supervising psychologist. Titles of unlicensed persons must clearly indicate their supervised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specific information to clients when an unlicensed person delivers services to those clients, including disclosure of the unlicensed person’s status and information regarding the person’s qualifications and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Inform clients of the possibility of periodic meetings with the supervising psychologist at the client’s, the supervisee’s or the supervisor’s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for setting and receipt of payment that will remain the sole domain of the employing agency or supervising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a level of supervisory contact consistent with established professional standards and be fully accountable in the event that professional, ethical or legal issues are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a detailed job description in which functions are designated at varying levels of difficulty, requiring increasing levels of training, skill and experience. This job description will be made available to representatives of the board and service recipients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planning, course, and outcome of the work. The conduct of supervision shall ensure the professional, ethical, and legal protection of the client and of the unlicensed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Countersign all written reports, clinical records and clinical communications as “Reviewed and Approved” by the supervising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for mental health counselors and marriage and family therapists.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marital and family therapy or mental health counseling shall begin on October 1 of an even-numbered year and end on September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880.10(2)</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58">
        <w:r>
          <w:rPr>
            <w:rStyle w:val="Hyperlink"/>
            <w:rFonts w:ascii="Times New Roman" w:hAnsi="Times New Roman"/>
            <w:b w:val="false"/>
            <w:i w:val="false"/>
            <w:color w:val="000000"/>
            <w:sz w:val="22"/>
          </w:rPr>
          <w:t>481—881.2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 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 compact eligibility review. This rule applies to mental health counselor licensees who were licensed prior to enactment of this rule unless this was completed at the time of initial licensure. In order to complete the compact eligibility review, at or prior to the licensee’s next renewal,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880.10(3)</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59">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60">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two hours of training in dependent adult abuse identification and reporting as required by Iowa Code section </w:t>
      </w:r>
      <w:hyperlink r:id="rId61">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62">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five years after mandatory training as identified in paragraphs </w:t>
      </w:r>
      <w:hyperlink r:id="rId63">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64">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65">
        <w:r>
          <w:rPr>
            <w:rStyle w:val="Hyperlink"/>
            <w:rFonts w:ascii="Times New Roman" w:hAnsi="Times New Roman"/>
            <w:b w:val="false"/>
            <w:i w:val="false"/>
            <w:color w:val="000000"/>
            <w:sz w:val="22"/>
          </w:rPr>
          <w:t>880.10(3)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marital and family therapist or mental health counselor shall keep the person’s license certificate and wallet card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wallet card. The licensee shall be assessed a late fee as specified in </w:t>
      </w:r>
      <w:hyperlink r:id="rId66">
        <w:r>
          <w:rPr>
            <w:rStyle w:val="Hyperlink"/>
            <w:rFonts w:ascii="Times New Roman" w:hAnsi="Times New Roman"/>
            <w:b w:val="false"/>
            <w:i w:val="false"/>
            <w:color w:val="000000"/>
            <w:sz w:val="22"/>
          </w:rPr>
          <w:t>481—subrule 507.3(3)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880.10(7)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practice mental health counseling or marital and family therapy in Iowa until the license is reactivated. A licensee who practices mental health counseling or marital and family therapy in the state of Iowa with an inactive license may be subject to disciplinary action by the board, injunctive action pursuant to Iowa Code section </w:t>
      </w:r>
      <w:hyperlink r:id="rId67">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68">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481—880.11</w:t>
      </w:r>
      <w:r>
        <w:rPr>
          <w:rFonts w:ascii="Times New Roman" w:hAnsi="Times New Roman"/>
          <w:b/>
          <w:i w:val="false"/>
          <w:color w:val="000000"/>
          <w:sz w:val="22"/>
        </w:rPr>
        <w:t xml:space="preserve">(272C) </w:t>
      </w:r>
      <w:r>
        <w:rPr>
          <w:rFonts w:ascii="Times New Roman" w:hAnsi="Times New Roman"/>
          <w:b/>
          <w:i w:val="false"/>
          <w:color w:val="000000"/>
          <w:sz w:val="22"/>
        </w:rPr>
        <w:t xml:space="preserve">Initial licensing, reactivation, and license renewal for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880.11(1)</w:t>
      </w:r>
      <w:r>
        <w:rPr>
          <w:rFonts w:ascii="Times New Roman" w:hAnsi="Times New Roman"/>
          <w:b w:val="false"/>
          <w:i w:val="false"/>
          <w:color w:val="000000"/>
          <w:sz w:val="22"/>
        </w:rPr>
        <w:t> </w:t>
      </w:r>
      <w:r>
        <w:rPr>
          <w:rFonts w:ascii="Times New Roman" w:hAnsi="Times New Roman"/>
          <w:b w:val="false"/>
          <w:i w:val="false"/>
          <w:color w:val="000000"/>
          <w:sz w:val="22"/>
        </w:rPr>
        <w:t>An initial license for a behavior analyst or assistant behavior analyst shall be issued with the same expiration date as the applicant’s current certification issued by BACB.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880.11(2)</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behavior analyst or assistant behavior analyst shall run concurrent with the licensee’s BACB certification. Each license renewed shall be given the expiration date that is on the licensee’s current BACB certification.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continuing education requirements required by BACB to renew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as a board-certified behavior analyst, board-certified behavior analyst-doctoral, or board-certified assistant behavior analyst issued by BACB.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880.11(5)</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behavior analyst or assistant behavior analyst shall keep the person’s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69">
        <w:r>
          <w:rPr>
            <w:rStyle w:val="Hyperlink"/>
            <w:rFonts w:ascii="Times New Roman" w:hAnsi="Times New Roman"/>
            <w:b w:val="false"/>
            <w:i w:val="false"/>
            <w:color w:val="000000"/>
            <w:sz w:val="22"/>
          </w:rPr>
          <w:t>481—subrule 507.3(5)</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engage in the practice of applied behavior analysis for which a license is required in Iowa until the license is reactivated. A licensee who practices applied behavior analysis in a capacity that requires licensure in the state of Iowa with an inactive license may be subject to disciplinary action by the board, injunctive action pursuant to Iowa Code section </w:t>
      </w:r>
      <w:hyperlink r:id="rId70">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71">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880.11(8)</w:t>
      </w:r>
      <w:r>
        <w:rPr>
          <w:rFonts w:ascii="Times New Roman" w:hAnsi="Times New Roman"/>
          <w:b w:val="false"/>
          <w:i w:val="false"/>
          <w:color w:val="000000"/>
          <w:sz w:val="22"/>
        </w:rPr>
        <w:t> </w:t>
      </w:r>
      <w:r>
        <w:rPr>
          <w:rFonts w:ascii="Times New Roman" w:hAnsi="Times New Roman"/>
          <w:b w:val="false"/>
          <w:i w:val="false"/>
          <w:color w:val="000000"/>
          <w:sz w:val="22"/>
        </w:rPr>
        <w:t xml:space="preserve">Reactivation. To apply for reactivation of an inactive license, a licensee shall submit a completed renewal application and proof of current certification and shall be assessed a reactivation fee as specified in </w:t>
      </w:r>
      <w:hyperlink r:id="rId72">
        <w:r>
          <w:rPr>
            <w:rStyle w:val="Hyperlink"/>
            <w:rFonts w:ascii="Times New Roman" w:hAnsi="Times New Roman"/>
            <w:b w:val="false"/>
            <w:i w:val="false"/>
            <w:color w:val="000000"/>
            <w:sz w:val="22"/>
          </w:rPr>
          <w:t>481—subrule 507.3(6)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481—880.12</w:t>
      </w:r>
      <w:r>
        <w:rPr>
          <w:rFonts w:ascii="Times New Roman" w:hAnsi="Times New Roman"/>
          <w:b/>
          <w:i w:val="false"/>
          <w:color w:val="000000"/>
          <w:sz w:val="22"/>
        </w:rPr>
        <w:t xml:space="preserve">(147) </w:t>
      </w:r>
      <w:r>
        <w:rPr>
          <w:rFonts w:ascii="Times New Roman" w:hAnsi="Times New Roman"/>
          <w:b/>
          <w:i w:val="false"/>
          <w:color w:val="000000"/>
          <w:sz w:val="22"/>
        </w:rPr>
        <w:t xml:space="preserve">Psychology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psychology shall begin on July 1 of even-numbered years and end on June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73">
        <w:r>
          <w:rPr>
            <w:rStyle w:val="Hyperlink"/>
            <w:rFonts w:ascii="Times New Roman" w:hAnsi="Times New Roman"/>
            <w:b w:val="false"/>
            <w:i w:val="false"/>
            <w:color w:val="000000"/>
            <w:sz w:val="22"/>
          </w:rPr>
          <w:t>481—881.2</w:t>
        </w:r>
      </w:hyperlink>
      <w:r>
        <w:rPr>
          <w:rFonts w:ascii="Times New Roman" w:hAnsi="Times New Roman"/>
          <w:b w:val="false"/>
          <w:i w:val="false"/>
          <w:color w:val="000000"/>
          <w:sz w:val="22"/>
        </w:rPr>
        <w:t xml:space="preserve">(272C) and the mandatory reporting requirements of subrule </w:t>
      </w:r>
      <w:hyperlink r:id="rId74">
        <w:r>
          <w:rPr>
            <w:rStyle w:val="Hyperlink"/>
            <w:rFonts w:ascii="Times New Roman" w:hAnsi="Times New Roman"/>
            <w:b w:val="false"/>
            <w:i w:val="false"/>
            <w:color w:val="000000"/>
            <w:sz w:val="22"/>
          </w:rPr>
          <w:t>880.12(4)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7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76">
        <w:r>
          <w:rPr>
            <w:rStyle w:val="Hyperlink"/>
            <w:rFonts w:ascii="Times New Roman" w:hAnsi="Times New Roman"/>
            <w:b w:val="false"/>
            <w:i w:val="false"/>
            <w:color w:val="000000"/>
            <w:sz w:val="22"/>
          </w:rPr>
          <w:t>880.12(4)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77">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78">
        <w:r>
          <w:rPr>
            <w:rStyle w:val="Hyperlink"/>
            <w:rFonts w:ascii="Times New Roman" w:hAnsi="Times New Roman"/>
            <w:b w:val="false"/>
            <w:i w:val="false"/>
            <w:color w:val="000000"/>
            <w:sz w:val="22"/>
          </w:rPr>
          <w:t>880.12(4)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hyperlink r:id="rId79">
        <w:r>
          <w:rPr>
            <w:rStyle w:val="Hyperlink"/>
            <w:rFonts w:ascii="Times New Roman" w:hAnsi="Times New Roman"/>
            <w:b w:val="false"/>
            <w:i w:val="false"/>
            <w:color w:val="000000"/>
            <w:sz w:val="22"/>
          </w:rPr>
          <w:t>880.12(4)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80">
        <w:r>
          <w:rPr>
            <w:rStyle w:val="Hyperlink"/>
            <w:rFonts w:ascii="Times New Roman" w:hAnsi="Times New Roman"/>
            <w:b w:val="false"/>
            <w:i w:val="false"/>
            <w:color w:val="000000"/>
            <w:sz w:val="22"/>
          </w:rPr>
          <w:t>481—500.9</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81">
        <w:r>
          <w:rPr>
            <w:rStyle w:val="Hyperlink"/>
            <w:rFonts w:ascii="Times New Roman" w:hAnsi="Times New Roman"/>
            <w:b w:val="false"/>
            <w:i w:val="false"/>
            <w:color w:val="000000"/>
            <w:sz w:val="22"/>
          </w:rPr>
          <w:t>880.12(4)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psychologist shall keep the person’s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880.12(7)</w:t>
      </w:r>
      <w:r>
        <w:rPr>
          <w:rFonts w:ascii="Times New Roman" w:hAnsi="Times New Roman"/>
          <w:b w:val="false"/>
          <w:i w:val="false"/>
          <w:color w:val="000000"/>
          <w:sz w:val="22"/>
        </w:rPr>
        <w:t> </w:t>
      </w:r>
      <w:r>
        <w:rPr>
          <w:rFonts w:ascii="Times New Roman" w:hAnsi="Times New Roman"/>
          <w:b w:val="false"/>
          <w:i w:val="false"/>
          <w:color w:val="000000"/>
          <w:sz w:val="22"/>
        </w:rPr>
        <w:t>Late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become late when the license has not been renewed by the expiration date on the renewal. The licensee shall be assessed a late fee as specified in </w:t>
      </w:r>
      <w:hyperlink r:id="rId82">
        <w:r>
          <w:rPr>
            <w:rStyle w:val="Hyperlink"/>
            <w:rFonts w:ascii="Times New Roman" w:hAnsi="Times New Roman"/>
            <w:b w:val="false"/>
            <w:i w:val="false"/>
            <w:color w:val="000000"/>
            <w:sz w:val="22"/>
          </w:rPr>
          <w:t>481—subrule 507.16(3)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880.12(8)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practice as a psychologist or health service provider in psychology in Iowa until the license is reactivated. A licensee who practices as a psychologist or health service provider in psychology in the state of Iowa with an inactive license may be subject to disciplinary action by the board, injunctive action pursuant to Iowa Code section </w:t>
      </w:r>
      <w:hyperlink r:id="rId8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8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481—880.13</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social work will begin on January 1 of odd-numbered years and end on December 31 of the next even-numbered year. Every licensee will renew on a biennial basis. The licensee is responsible for renewing the license prior to its expiration. Failure of the licensee to receive notice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880.13(2)</w:t>
      </w:r>
      <w:r>
        <w:rPr>
          <w:rFonts w:ascii="Times New Roman" w:hAnsi="Times New Roman"/>
          <w:b w:val="false"/>
          <w:i w:val="false"/>
          <w:color w:val="000000"/>
          <w:sz w:val="22"/>
        </w:rPr>
        <w:t> </w:t>
      </w:r>
      <w:r>
        <w:rPr>
          <w:rFonts w:ascii="Times New Roman" w:hAnsi="Times New Roman"/>
          <w:b w:val="false"/>
          <w:i w:val="false"/>
          <w:color w:val="000000"/>
          <w:sz w:val="22"/>
        </w:rPr>
        <w:t>Renewal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85">
        <w:r>
          <w:rPr>
            <w:rStyle w:val="Hyperlink"/>
            <w:rFonts w:ascii="Times New Roman" w:hAnsi="Times New Roman"/>
            <w:b w:val="false"/>
            <w:i w:val="false"/>
            <w:color w:val="000000"/>
            <w:sz w:val="22"/>
          </w:rPr>
          <w:t>481—881.2</w:t>
        </w:r>
      </w:hyperlink>
      <w:r>
        <w:rPr>
          <w:rFonts w:ascii="Times New Roman" w:hAnsi="Times New Roman"/>
          <w:b w:val="false"/>
          <w:i w:val="false"/>
          <w:color w:val="000000"/>
          <w:sz w:val="22"/>
        </w:rPr>
        <w:t xml:space="preserve">(272C) and the mandatory reporting requirements of subrule </w:t>
      </w:r>
      <w:hyperlink r:id="rId86">
        <w:r>
          <w:rPr>
            <w:rStyle w:val="Hyperlink"/>
            <w:rFonts w:ascii="Times New Roman" w:hAnsi="Times New Roman"/>
            <w:b w:val="false"/>
            <w:i w:val="false"/>
            <w:color w:val="000000"/>
            <w:sz w:val="22"/>
          </w:rPr>
          <w:t>880.13(3)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persons licensed for the first time will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27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social work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receive the notice of renewal will not relieve the licensee of the responsibility for submitting the required materials and the renewal fee to the board office 30 days before license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whose Iowa license is delinquent, closed, retired, voluntarily surrendered, suspended, or revoked cannot advance to a higher level until the license is again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880.13(3)</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87">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88">
        <w:r>
          <w:rPr>
            <w:rStyle w:val="Hyperlink"/>
            <w:rFonts w:ascii="Times New Roman" w:hAnsi="Times New Roman"/>
            <w:b w:val="false"/>
            <w:i w:val="false"/>
            <w:color w:val="000000"/>
            <w:sz w:val="22"/>
          </w:rPr>
          <w:t>880.13(3)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8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90">
        <w:r>
          <w:rPr>
            <w:rStyle w:val="Hyperlink"/>
            <w:rFonts w:ascii="Times New Roman" w:hAnsi="Times New Roman"/>
            <w:b w:val="false"/>
            <w:i w:val="false"/>
            <w:color w:val="000000"/>
            <w:sz w:val="22"/>
          </w:rPr>
          <w:t>880.13(3)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hyperlink r:id="rId91">
        <w:r>
          <w:rPr>
            <w:rStyle w:val="Hyperlink"/>
            <w:rFonts w:ascii="Times New Roman" w:hAnsi="Times New Roman"/>
            <w:b w:val="false"/>
            <w:i w:val="false"/>
            <w:color w:val="000000"/>
            <w:sz w:val="22"/>
          </w:rPr>
          <w:t>880.13(3)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92">
        <w:r>
          <w:rPr>
            <w:rStyle w:val="Hyperlink"/>
            <w:rFonts w:ascii="Times New Roman" w:hAnsi="Times New Roman"/>
            <w:b w:val="false"/>
            <w:i w:val="false"/>
            <w:color w:val="000000"/>
            <w:sz w:val="22"/>
          </w:rPr>
          <w:t>481—500.9</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93">
        <w:r>
          <w:rPr>
            <w:rStyle w:val="Hyperlink"/>
            <w:rFonts w:ascii="Times New Roman" w:hAnsi="Times New Roman"/>
            <w:b w:val="false"/>
            <w:i w:val="false"/>
            <w:color w:val="000000"/>
            <w:sz w:val="22"/>
          </w:rPr>
          <w:t>880.13(3)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880.13(4)</w:t>
      </w:r>
      <w:r>
        <w:rPr>
          <w:rFonts w:ascii="Times New Roman" w:hAnsi="Times New Roman"/>
          <w:b w:val="false"/>
          <w:i w:val="false"/>
          <w:color w:val="000000"/>
          <w:sz w:val="22"/>
        </w:rPr>
        <w:t> </w:t>
      </w:r>
      <w:r>
        <w:rPr>
          <w:rFonts w:ascii="Times New Roman" w:hAnsi="Times New Roman"/>
          <w:b w:val="false"/>
          <w:i w:val="false"/>
          <w:color w:val="000000"/>
          <w:sz w:val="22"/>
        </w:rPr>
        <w:t>Late renewal.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880.13(5)</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shall not practice as a social worker in Iowa until the license is reactivated. A licensee who practices as a social worker in the state of Iowa with an inactive license may be subject to disciplinary action by the board, injunctive action pursuant to Iowa Code section </w:t>
      </w:r>
      <w:hyperlink r:id="rId9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9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880.13(6)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481—880.14</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for mental health counselors, marital and family therapists, psychologists, and social workers.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96">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880.14(4)</w:t>
      </w:r>
      <w:r>
        <w:rPr>
          <w:rFonts w:ascii="Times New Roman" w:hAnsi="Times New Roman"/>
          <w:b w:val="false"/>
          <w:i w:val="false"/>
          <w:color w:val="000000"/>
          <w:sz w:val="22"/>
        </w:rPr>
        <w:t> </w:t>
      </w:r>
      <w:r>
        <w:rPr>
          <w:rFonts w:ascii="Times New Roman" w:hAnsi="Times New Roman"/>
          <w:b w:val="false"/>
          <w:i w:val="false"/>
          <w:color w:val="000000"/>
          <w:sz w:val="22"/>
        </w:rPr>
        <w:t>For mental health counseling and marriage and family therapy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a current active license in another jurisdiction at the time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completion of continuing education taken within two years prior to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less than five years, the applicant must submit verification of 40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more than five years, the applicant must submit verification of 80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mental health counseling license has been inactive for two or more years and the licensee cannot provide verification of active practice, consisting of a minimum of 2,080 hours, in another state or jurisdiction during the two years preceding an application for reactivation, submit required waivers and fingerprints pursuant to the board-approved process to facilitate a national criminal history background check. The cost for the evaluation of the fingerprint packet and the DCI and the FBI criminal history background checks will be assessed to the licensee. The board may withhold reactivation of a license pending receipt of a report from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880.14(5)</w:t>
      </w:r>
      <w:r>
        <w:rPr>
          <w:rFonts w:ascii="Times New Roman" w:hAnsi="Times New Roman"/>
          <w:b w:val="false"/>
          <w:i w:val="false"/>
          <w:color w:val="000000"/>
          <w:sz w:val="22"/>
        </w:rPr>
        <w:t> </w:t>
      </w:r>
      <w:r>
        <w:rPr>
          <w:rFonts w:ascii="Times New Roman" w:hAnsi="Times New Roman"/>
          <w:b w:val="false"/>
          <w:i w:val="false"/>
          <w:color w:val="000000"/>
          <w:sz w:val="22"/>
        </w:rPr>
        <w:t>For psychology licenses, provide 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880.14(6)</w:t>
      </w:r>
      <w:r>
        <w:rPr>
          <w:rFonts w:ascii="Times New Roman" w:hAnsi="Times New Roman"/>
          <w:b w:val="false"/>
          <w:i w:val="false"/>
          <w:color w:val="000000"/>
          <w:sz w:val="22"/>
        </w:rPr>
        <w:t> </w:t>
      </w:r>
      <w:r>
        <w:rPr>
          <w:rFonts w:ascii="Times New Roman" w:hAnsi="Times New Roman"/>
          <w:b w:val="false"/>
          <w:i w:val="false"/>
          <w:color w:val="000000"/>
          <w:sz w:val="22"/>
        </w:rPr>
        <w:t>For social work licenses,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has been on inactive status for more than five years, the verification in paragraph </w:t>
      </w:r>
      <w:hyperlink r:id="rId97">
        <w:r>
          <w:rPr>
            <w:rStyle w:val="Hyperlink"/>
            <w:rFonts w:ascii="Times New Roman" w:hAnsi="Times New Roman"/>
            <w:b w:val="false"/>
            <w:i w:val="false"/>
            <w:color w:val="000000"/>
            <w:sz w:val="22"/>
          </w:rPr>
          <w:t>880.14(6)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ASWB examination within the last five years at the appropriate or higher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Bachelor-level social worker—the bachelor’s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Master-level social worker—the master’s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Independent-level social worker—the clinical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continued social work practice at the appropriate or higher level in another state for a minimum of two years immediately preceding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social work license has been inactive for two or more years and the licensee cannot provide verification of active practice, in accordance with subparagraph </w:t>
      </w:r>
      <w:hyperlink r:id="rId98">
        <w:r>
          <w:rPr>
            <w:rStyle w:val="Hyperlink"/>
            <w:rFonts w:ascii="Times New Roman" w:hAnsi="Times New Roman"/>
            <w:b w:val="false"/>
            <w:i w:val="false"/>
            <w:color w:val="000000"/>
            <w:sz w:val="22"/>
          </w:rPr>
          <w:t>880.14(6)</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in another state or jurisdiction during the two years preceding an application for reactivation,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481—880.15</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9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100">
        <w:r>
          <w:rPr>
            <w:rStyle w:val="Hyperlink"/>
            <w:rFonts w:ascii="Times New Roman" w:hAnsi="Times New Roman"/>
            <w:b w:val="false"/>
            <w:i w:val="false"/>
            <w:color w:val="000000"/>
            <w:sz w:val="22"/>
          </w:rPr>
          <w:t>481—880.14</w:t>
        </w:r>
      </w:hyperlink>
      <w:r>
        <w:rPr>
          <w:rFonts w:ascii="Times New Roman" w:hAnsi="Times New Roman"/>
          <w:b w:val="false"/>
          <w:i w:val="false"/>
          <w:color w:val="000000"/>
          <w:sz w:val="22"/>
        </w:rPr>
        <w:t>(17A,147,272C) prior to practicing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481—880.16</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services subject to regulation. </w:t>
      </w:r>
      <w:r>
        <w:rPr>
          <w:rFonts w:ascii="Times New Roman" w:hAnsi="Times New Roman"/>
          <w:b w:val="false"/>
          <w:i w:val="false"/>
          <w:color w:val="000000"/>
          <w:sz w:val="22"/>
        </w:rPr>
        <w:t>Social work, marital and family therapy, and mental health counseling services provided to an individual in this state through telephonic, electronic or other means, regardless of the location of the practitioner, shall constitute the practice of the profession and are subject to regulation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481—880.17</w:t>
      </w:r>
      <w:r>
        <w:rPr>
          <w:rFonts w:ascii="Times New Roman" w:hAnsi="Times New Roman"/>
          <w:b/>
          <w:i w:val="false"/>
          <w:color w:val="000000"/>
          <w:sz w:val="22"/>
        </w:rPr>
        <w:t xml:space="preserve">(147,154B) </w:t>
      </w:r>
      <w:r>
        <w:rPr>
          <w:rFonts w:ascii="Times New Roman" w:hAnsi="Times New Roman"/>
          <w:b/>
          <w:i w:val="false"/>
          <w:color w:val="000000"/>
          <w:sz w:val="22"/>
        </w:rPr>
        <w:t xml:space="preserve">Psychology title 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880.17(1)</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who are enrolled in an education program that satisfies the requirements of subrule </w:t>
      </w:r>
      <w:hyperlink r:id="rId101">
        <w:r>
          <w:rPr>
            <w:rStyle w:val="Hyperlink"/>
            <w:rFonts w:ascii="Times New Roman" w:hAnsi="Times New Roman"/>
            <w:b w:val="false"/>
            <w:i w:val="false"/>
            <w:color w:val="000000"/>
            <w:sz w:val="22"/>
          </w:rPr>
          <w:t>880.4(4)</w:t>
        </w:r>
      </w:hyperlink>
      <w:r>
        <w:rPr>
          <w:rFonts w:ascii="Times New Roman" w:hAnsi="Times New Roman"/>
          <w:b w:val="false"/>
          <w:i w:val="false"/>
          <w:color w:val="000000"/>
          <w:sz w:val="22"/>
        </w:rPr>
        <w:t xml:space="preserve"> and who are completing the predoctoral internship may be designated “psychology intern” or “intern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880.17(2)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licensure who have met educational requirements and who are completing the postdoctoral residency to be eligible for licensure may be designated “psychology resident,” “resident in psychology,” “psychology postdoctoral fellow,” or “postdoctoral fellow in psychology.” The designation of “resident” shall not be used except during a postdoctoral residency that meets the requirements of rule </w:t>
      </w:r>
      <w:hyperlink r:id="rId102">
        <w:r>
          <w:rPr>
            <w:rStyle w:val="Hyperlink"/>
            <w:rFonts w:ascii="Times New Roman" w:hAnsi="Times New Roman"/>
            <w:b w:val="false"/>
            <w:i w:val="false"/>
            <w:color w:val="000000"/>
            <w:sz w:val="22"/>
          </w:rPr>
          <w:t>481—880.8</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880.17(3)</w:t>
      </w:r>
      <w:r>
        <w:rPr>
          <w:rFonts w:ascii="Times New Roman" w:hAnsi="Times New Roman"/>
          <w:b w:val="false"/>
          <w:i w:val="false"/>
          <w:color w:val="000000"/>
          <w:sz w:val="22"/>
        </w:rPr>
        <w:t> </w:t>
      </w:r>
      <w:r>
        <w:rPr>
          <w:rFonts w:ascii="Times New Roman" w:hAnsi="Times New Roman"/>
          <w:b w:val="false"/>
          <w:i w:val="false"/>
          <w:color w:val="000000"/>
          <w:sz w:val="22"/>
        </w:rPr>
        <w:t>Persons who possess provisional licenses shall add the designation “provisional license in psychology” following the “resident,” “intern,” or “fellow”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481—880.18</w:t>
      </w:r>
      <w:r>
        <w:rPr>
          <w:rFonts w:ascii="Times New Roman" w:hAnsi="Times New Roman"/>
          <w:b/>
          <w:i w:val="false"/>
          <w:color w:val="000000"/>
          <w:sz w:val="22"/>
        </w:rPr>
        <w:t xml:space="preserve">(147) </w:t>
      </w:r>
      <w:r>
        <w:rPr>
          <w:rFonts w:ascii="Times New Roman" w:hAnsi="Times New Roman"/>
          <w:b/>
          <w:i w:val="false"/>
          <w:color w:val="000000"/>
          <w:sz w:val="22"/>
        </w:rPr>
        <w:t xml:space="preserve">Professional counselor licensing compact. </w:t>
      </w:r>
      <w:r>
        <w:rPr>
          <w:rFonts w:ascii="Times New Roman" w:hAnsi="Times New Roman"/>
          <w:b w:val="false"/>
          <w:i w:val="false"/>
          <w:color w:val="000000"/>
          <w:sz w:val="22"/>
        </w:rPr>
        <w:t xml:space="preserve">The rules of the Counseling Compact Commission are incorporated by reference. A mental health counselor may engage in the practice of licensed mental health counseling in Iowa without a license issued by the board if the individual has a current compact privilege to practice in Iowa issued by the counseling compact. The state fee for issuance of a compact privilege to practice in Iowa shall be $60, which will be collected by the counseling compact. The state fee for issuance of a compact privilege to practice in Iowa shall be waived for an active-duty military member or spouse of an individual who is an active-duty military member. A mental health counselor who practices mental health counseling in Iowa using a compact privilege is subject to the rules governing licensees in this chapter and in 481—Chapters </w:t>
      </w:r>
      <w:hyperlink r:id="rId103">
        <w:r>
          <w:rPr>
            <w:rStyle w:val="Hyperlink"/>
            <w:rFonts w:ascii="Times New Roman" w:hAnsi="Times New Roman"/>
            <w:b w:val="false"/>
            <w:i w:val="false"/>
            <w:color w:val="000000"/>
            <w:sz w:val="22"/>
          </w:rPr>
          <w:t>881</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882</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884</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0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147H</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481—Chapters </w:t>
      </w:r>
      <w:hyperlink r:id="rId110">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3">
        <w:r>
          <w:rPr>
            <w:rStyle w:val="Hyperlink"/>
            <w:rFonts w:ascii="Times New Roman" w:hAnsi="Times New Roman"/>
            <w:b w:val="false"/>
            <w:i w:val="false"/>
            <w:color w:val="000000"/>
            <w:sz w:val="22"/>
          </w:rPr>
          <w:t>147H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481—880.19</w:t>
      </w:r>
      <w:r>
        <w:rPr>
          <w:rFonts w:ascii="Times New Roman" w:hAnsi="Times New Roman"/>
          <w:b/>
          <w:i w:val="false"/>
          <w:color w:val="000000"/>
          <w:sz w:val="22"/>
        </w:rPr>
        <w:t xml:space="preserve">(147) </w:t>
      </w:r>
      <w:r>
        <w:rPr>
          <w:rFonts w:ascii="Times New Roman" w:hAnsi="Times New Roman"/>
          <w:b/>
          <w:i w:val="false"/>
          <w:color w:val="000000"/>
          <w:sz w:val="22"/>
        </w:rPr>
        <w:t xml:space="preserve">Professional social work licensure compact (SWLC). </w:t>
      </w:r>
      <w:r>
        <w:rPr>
          <w:rFonts w:ascii="Times New Roman" w:hAnsi="Times New Roman"/>
          <w:b w:val="false"/>
          <w:i w:val="false"/>
          <w:color w:val="000000"/>
          <w:sz w:val="22"/>
        </w:rPr>
        <w:t xml:space="preserve">The rules of the SWLC are incorporated by reference. A social worker may engage in the practice of licensed social work in Iowa without a license issued by the board if the individual has a current compact privilege to practice in Iowa issued by the SWLC. The state fee for issuance of a compact privilege to practice in Iowa shall be $60, which will be collected by the SWLC. The state fee for issuance of a compact privilege to practice in Iowa shall be waived for an active duty military member or spouse of an individual who is an active duty military member. A social worker who practices social work in Iowa using a compact privilege is subject to the rules governing licensees in this chapter and in 481—Chapters </w:t>
      </w:r>
      <w:hyperlink r:id="rId114">
        <w:r>
          <w:rPr>
            <w:rStyle w:val="Hyperlink"/>
            <w:rFonts w:ascii="Times New Roman" w:hAnsi="Times New Roman"/>
            <w:b w:val="false"/>
            <w:i w:val="false"/>
            <w:color w:val="000000"/>
            <w:sz w:val="22"/>
          </w:rPr>
          <w:t>881</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882</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884</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147I</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481—Chapters </w:t>
      </w:r>
      <w:hyperlink r:id="rId121">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4">
        <w:r>
          <w:rPr>
            <w:rStyle w:val="Hyperlink"/>
            <w:rFonts w:ascii="Times New Roman" w:hAnsi="Times New Roman"/>
            <w:b w:val="false"/>
            <w:i w:val="false"/>
            <w:color w:val="000000"/>
            <w:sz w:val="22"/>
          </w:rPr>
          <w:t>147I</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481—880.20</w:t>
      </w:r>
      <w:r>
        <w:rPr>
          <w:rFonts w:ascii="Times New Roman" w:hAnsi="Times New Roman"/>
          <w:b/>
          <w:i w:val="false"/>
          <w:color w:val="000000"/>
          <w:sz w:val="22"/>
        </w:rPr>
        <w:t xml:space="preserve">(154D) </w:t>
      </w:r>
      <w:r>
        <w:rPr>
          <w:rFonts w:ascii="Times New Roman" w:hAnsi="Times New Roman"/>
          <w:b/>
          <w:i w:val="false"/>
          <w:color w:val="000000"/>
          <w:sz w:val="22"/>
        </w:rPr>
        <w:t xml:space="preserve">Temporary licensees. </w:t>
      </w:r>
      <w:r>
        <w:rPr>
          <w:rFonts w:ascii="Times New Roman" w:hAnsi="Times New Roman"/>
          <w:b w:val="false"/>
          <w:i w:val="false"/>
          <w:color w:val="000000"/>
          <w:sz w:val="22"/>
        </w:rPr>
        <w:t>A temporary licensee shall engage only in the practice of marital and family therapy or mental health counseling as part of an agency or group practice with oversight over the temporary licensee. The agency or group practice shall have at least one independently licensed mental health provider. A temporary licensee shall not practice as a solo practitioner or solely with other temporary licensees.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9401C</w:t>
      </w:r>
      <w:r>
        <w:rPr>
          <w:rFonts w:ascii="Times New Roman" w:hAnsi="Times New Roman"/>
          <w:b w:val="false"/>
          <w:i w:val="false"/>
          <w:color w:val="000000"/>
          <w:sz w:val="21"/>
        </w:rPr>
        <w:t xml:space="preserve"> (Notice ARC 8878C, IAB 2/19/25)</w:t>
      </w:r>
      <w:r>
        <w:rPr>
          <w:rFonts w:ascii="Times New Roman" w:hAnsi="Times New Roman"/>
          <w:b w:val="false"/>
          <w:i w:val="false"/>
          <w:color w:val="000000"/>
          <w:sz w:val="21"/>
        </w:rPr>
        <w:t>, IAB 7/9/25, effective 8/13/25]</w:t>
      </w:r>
    </w:p>
    <w:p>
      <w:pPr>
        <w:spacing w:before="0" w:after="0"/>
        <w:ind w:left="120"/>
        <w:jc w:val="center"/>
      </w:pPr>
      <w:r>
        <w:rPr>
          <w:rFonts w:ascii="Times New Roman" w:hAnsi="Times New Roman"/>
          <w:b w:val="false"/>
          <w:i w:val="false"/>
          <w:color w:val="000000"/>
          <w:sz w:val="21"/>
        </w:rPr>
        <w:t>[Filed ARC 0556D</w:t>
      </w:r>
      <w:r>
        <w:rPr>
          <w:rFonts w:ascii="Times New Roman" w:hAnsi="Times New Roman"/>
          <w:b w:val="false"/>
          <w:i w:val="false"/>
          <w:color w:val="000000"/>
          <w:sz w:val="21"/>
        </w:rPr>
        <w:t xml:space="preserve"> (Notice ARC 0231D, IAB 4/29/26)</w:t>
      </w:r>
      <w:r>
        <w:rPr>
          <w:rFonts w:ascii="Times New Roman" w:hAnsi="Times New Roman"/>
          <w:b w:val="false"/>
          <w:i w:val="false"/>
          <w:color w:val="000000"/>
          <w:sz w:val="21"/>
        </w:rPr>
        <w:t>, IAB 9/2/26, effective 10/7/26]</w:t>
      </w:r>
    </w:p>
    <w:sectPr>
      <w:footerReference r:id="rId13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0.11.pdf" Type="http://schemas.openxmlformats.org/officeDocument/2006/relationships/hyperlink" Id="rId5"/>
    <Relationship TargetMode="External" Target="https://www.legis.iowa.gov/docs/iac/rule/481.880.14.pdf" Type="http://schemas.openxmlformats.org/officeDocument/2006/relationships/hyperlink" Id="rId6"/>
    <Relationship TargetMode="External" Target="https://www.legis.iowa.gov/docs/iac/rule/481.506.31.pdf" Type="http://schemas.openxmlformats.org/officeDocument/2006/relationships/hyperlink" Id="rId7"/>
    <Relationship TargetMode="External" Target="https://www.legis.iowa.gov/docs/iac/rule/481.507.3.pdf" Type="http://schemas.openxmlformats.org/officeDocument/2006/relationships/hyperlink" Id="rId8"/>
    <Relationship TargetMode="External" Target="https://www.legis.iowa.gov/docs/iac/rule/481.880.4.pdf" Type="http://schemas.openxmlformats.org/officeDocument/2006/relationships/hyperlink" Id="rId9"/>
    <Relationship TargetMode="External" Target="https://www.legis.iowa.gov/docs/iac/rule/481.880.4.pdf" Type="http://schemas.openxmlformats.org/officeDocument/2006/relationships/hyperlink" Id="rId10"/>
    <Relationship TargetMode="External" Target="https://www.legis.iowa.gov/docs/iac/rule/481.880.4.pdf" Type="http://schemas.openxmlformats.org/officeDocument/2006/relationships/hyperlink" Id="rId11"/>
    <Relationship TargetMode="External" Target="https://www.legis.iowa.gov/docs/iac/rule/481.880.4.pdf" Type="http://schemas.openxmlformats.org/officeDocument/2006/relationships/hyperlink" Id="rId12"/>
    <Relationship TargetMode="External" Target="https://www.legis.iowa.gov/docs/iac/rule/481.880.3.pdf" Type="http://schemas.openxmlformats.org/officeDocument/2006/relationships/hyperlink" Id="rId13"/>
    <Relationship TargetMode="External" Target="https://www.legis.iowa.gov/docs/iac/rule/481.880.7.pdf" Type="http://schemas.openxmlformats.org/officeDocument/2006/relationships/hyperlink" Id="rId14"/>
    <Relationship TargetMode="External" Target="https://www.legis.iowa.gov/docs/iac/rule/481.507.3.pdf" Type="http://schemas.openxmlformats.org/officeDocument/2006/relationships/hyperlink" Id="rId15"/>
    <Relationship TargetMode="External" Target="https://www.legis.iowa.gov/docs/iac/rule/481.507.16.pdf" Type="http://schemas.openxmlformats.org/officeDocument/2006/relationships/hyperlink" Id="rId16"/>
    <Relationship TargetMode="External" Target="https://www.legis.iowa.gov/docs/iac/rule/481.507.16.pdf" Type="http://schemas.openxmlformats.org/officeDocument/2006/relationships/hyperlink" Id="rId17"/>
    <Relationship TargetMode="External" Target="https://www.legis.iowa.gov/docs/iac/rule/481.880.4.pdf" Type="http://schemas.openxmlformats.org/officeDocument/2006/relationships/hyperlink" Id="rId18"/>
    <Relationship TargetMode="External" Target="https://www.legis.iowa.gov/docs/iac/rule/481.507.16.pdf" Type="http://schemas.openxmlformats.org/officeDocument/2006/relationships/hyperlink" Id="rId19"/>
    <Relationship TargetMode="External" Target="https://www.legis.iowa.gov/docs/iac/rule/481.880.4.pdf" Type="http://schemas.openxmlformats.org/officeDocument/2006/relationships/hyperlink" Id="rId20"/>
    <Relationship TargetMode="External" Target="https://www.legis.iowa.gov/docs/iac/rule/481.880.2.pdf" Type="http://schemas.openxmlformats.org/officeDocument/2006/relationships/hyperlink" Id="rId21"/>
    <Relationship TargetMode="External" Target="https://www.legis.iowa.gov/docs/iac/rule/481.880.8.pdf" Type="http://schemas.openxmlformats.org/officeDocument/2006/relationships/hyperlink" Id="rId22"/>
    <Relationship TargetMode="External" Target="https://www.legis.iowa.gov/docs/ico/chapter/154B.3.pdf" Type="http://schemas.openxmlformats.org/officeDocument/2006/relationships/hyperlink" Id="rId23"/>
    <Relationship TargetMode="External" Target="https://www.legis.iowa.gov/docs/iac/rule/481.507.16.pdf" Type="http://schemas.openxmlformats.org/officeDocument/2006/relationships/hyperlink" Id="rId24"/>
    <Relationship TargetMode="External" Target="https://www.legis.iowa.gov/docs/iac/rule/481.507.19.pdf" Type="http://schemas.openxmlformats.org/officeDocument/2006/relationships/hyperlink" Id="rId25"/>
    <Relationship TargetMode="External" Target="https://www.legis.iowa.gov/docs/iac/rule/481.880.2.pdf" Type="http://schemas.openxmlformats.org/officeDocument/2006/relationships/hyperlink" Id="rId26"/>
    <Relationship TargetMode="External" Target="https://www.legis.iowa.gov/docs/iac/rule/481.880.3.pdf" Type="http://schemas.openxmlformats.org/officeDocument/2006/relationships/hyperlink" Id="rId27"/>
    <Relationship TargetMode="External" Target="https://www.legis.iowa.gov/docs/iac/rule/481.880.2.pdf" Type="http://schemas.openxmlformats.org/officeDocument/2006/relationships/hyperlink" Id="rId28"/>
    <Relationship TargetMode="External" Target="https://www.legis.iowa.gov/docs/iac/rule/481.507.3.pdf" Type="http://schemas.openxmlformats.org/officeDocument/2006/relationships/hyperlink" Id="rId29"/>
    <Relationship TargetMode="External" Target="https://www.legis.iowa.gov/docs/iac/rule/481.880.2.pdf" Type="http://schemas.openxmlformats.org/officeDocument/2006/relationships/hyperlink" Id="rId30"/>
    <Relationship TargetMode="External" Target="https://www.legis.iowa.gov/docs/iac/rule/481.880.4.pdf" Type="http://schemas.openxmlformats.org/officeDocument/2006/relationships/hyperlink" Id="rId31"/>
    <Relationship TargetMode="External" Target="https://www.legis.iowa.gov/docs/iac/rule/481.880.2.pdf" Type="http://schemas.openxmlformats.org/officeDocument/2006/relationships/hyperlink" Id="rId32"/>
    <Relationship TargetMode="External" Target="https://www.legis.iowa.gov/docs/iac/rule/481.880.3.pdf" Type="http://schemas.openxmlformats.org/officeDocument/2006/relationships/hyperlink" Id="rId33"/>
    <Relationship TargetMode="External" Target="https://www.legis.iowa.gov/docs/iac/rule/481.880.3.pdf" Type="http://schemas.openxmlformats.org/officeDocument/2006/relationships/hyperlink" Id="rId34"/>
    <Relationship TargetMode="External" Target="https://www.legis.iowa.gov/docs/iac/rule/481.880.4.pdf" Type="http://schemas.openxmlformats.org/officeDocument/2006/relationships/hyperlink" Id="rId35"/>
    <Relationship TargetMode="External" Target="http://cce-global.org" Type="http://schemas.openxmlformats.org/officeDocument/2006/relationships/hyperlink" Id="rId36"/>
    <Relationship TargetMode="External" Target="https://www.legis.iowa.gov/docs/iac/rule/481.880.4.pdf" Type="http://schemas.openxmlformats.org/officeDocument/2006/relationships/hyperlink" Id="rId37"/>
    <Relationship TargetMode="External" Target="http://cce-global.org" Type="http://schemas.openxmlformats.org/officeDocument/2006/relationships/hyperlink" Id="rId38"/>
    <Relationship TargetMode="External" Target="http://www.ierf.org" Type="http://schemas.openxmlformats.org/officeDocument/2006/relationships/hyperlink" Id="rId39"/>
    <Relationship TargetMode="External" Target="mailto:info@ierf.org" Type="http://schemas.openxmlformats.org/officeDocument/2006/relationships/hyperlink" Id="rId40"/>
    <Relationship TargetMode="External" Target="https://www.legis.iowa.gov/docs/iac/rule/481.880.4.pdf" Type="http://schemas.openxmlformats.org/officeDocument/2006/relationships/hyperlink" Id="rId41"/>
    <Relationship TargetMode="External" Target="http://www.nationalregister.org" Type="http://schemas.openxmlformats.org/officeDocument/2006/relationships/hyperlink" Id="rId42"/>
    <Relationship TargetMode="External" Target="http://www.naces.org" Type="http://schemas.openxmlformats.org/officeDocument/2006/relationships/hyperlink" Id="rId43"/>
    <Relationship TargetMode="External" Target="https://www.legis.iowa.gov/docs/iac/rule/481.880.4.pdf" Type="http://schemas.openxmlformats.org/officeDocument/2006/relationships/hyperlink" Id="rId44"/>
    <Relationship TargetMode="External" Target="http://www.ierf.org" Type="http://schemas.openxmlformats.org/officeDocument/2006/relationships/hyperlink" Id="rId45"/>
    <Relationship TargetMode="External" Target="mailto:info@ierf.org" Type="http://schemas.openxmlformats.org/officeDocument/2006/relationships/hyperlink" Id="rId46"/>
    <Relationship TargetMode="External" Target="http://www.cswe.org" Type="http://schemas.openxmlformats.org/officeDocument/2006/relationships/hyperlink" Id="rId47"/>
    <Relationship TargetMode="External" Target="http://www.naces.org" Type="http://schemas.openxmlformats.org/officeDocument/2006/relationships/hyperlink" Id="rId48"/>
    <Relationship TargetMode="External" Target="https://www.legis.iowa.gov/docs/iac/rule/481.880.2.pdf" Type="http://schemas.openxmlformats.org/officeDocument/2006/relationships/hyperlink" Id="rId49"/>
    <Relationship TargetMode="External" Target="https://www.legis.iowa.gov/docs/iac/rule/481.501.1.pdf" Type="http://schemas.openxmlformats.org/officeDocument/2006/relationships/hyperlink" Id="rId50"/>
    <Relationship TargetMode="External" Target="https://www.legis.iowa.gov/docs/iac/rule/481.507.16.pdf" Type="http://schemas.openxmlformats.org/officeDocument/2006/relationships/hyperlink" Id="rId51"/>
    <Relationship TargetMode="External" Target="https://www.legis.iowa.gov/docs/iac/rule/481.880.6.pdf" Type="http://schemas.openxmlformats.org/officeDocument/2006/relationships/hyperlink" Id="rId52"/>
    <Relationship TargetMode="External" Target="https://www.legis.iowa.gov/docs/iac/rule/481.880.4.pdf" Type="http://schemas.openxmlformats.org/officeDocument/2006/relationships/hyperlink" Id="rId53"/>
    <Relationship TargetMode="External" Target="https://www.legis.iowa.gov/docs/iac/rule/481.880.6.pdf" Type="http://schemas.openxmlformats.org/officeDocument/2006/relationships/hyperlink" Id="rId54"/>
    <Relationship TargetMode="External" Target="https://www.legis.iowa.gov/docs/iac/rule/481.501.1.pdf" Type="http://schemas.openxmlformats.org/officeDocument/2006/relationships/hyperlink" Id="rId55"/>
    <Relationship TargetMode="External" Target="https://www.legis.iowa.gov/docs/iac/rule/481.880.17.pdf" Type="http://schemas.openxmlformats.org/officeDocument/2006/relationships/hyperlink" Id="rId56"/>
    <Relationship TargetMode="External" Target="https://www.legis.iowa.gov/docs/iac/rule/481.880.17.pdf" Type="http://schemas.openxmlformats.org/officeDocument/2006/relationships/hyperlink" Id="rId57"/>
    <Relationship TargetMode="External" Target="https://www.legis.iowa.gov/docs/iac/rule/481.881.2.pdf" Type="http://schemas.openxmlformats.org/officeDocument/2006/relationships/hyperlink" Id="rId58"/>
    <Relationship TargetMode="External" Target="https://www.legis.iowa.gov/docs/ico/chapter/232.69.pdf" Type="http://schemas.openxmlformats.org/officeDocument/2006/relationships/hyperlink" Id="rId59"/>
    <Relationship TargetMode="External" Target="https://www.legis.iowa.gov/docs/iac/rule/481.880.10.pdf" Type="http://schemas.openxmlformats.org/officeDocument/2006/relationships/hyperlink" Id="rId60"/>
    <Relationship TargetMode="External" Target="https://www.legis.iowa.gov/docs/ico/chapter/235B.16.pdf" Type="http://schemas.openxmlformats.org/officeDocument/2006/relationships/hyperlink" Id="rId61"/>
    <Relationship TargetMode="External" Target="https://www.legis.iowa.gov/docs/iac/rule/481.880.10.pdf" Type="http://schemas.openxmlformats.org/officeDocument/2006/relationships/hyperlink" Id="rId62"/>
    <Relationship TargetMode="External" Target="https://www.legis.iowa.gov/docs/iac/rule/481.880.10.pdf" Type="http://schemas.openxmlformats.org/officeDocument/2006/relationships/hyperlink" Id="rId63"/>
    <Relationship TargetMode="External" Target="https://www.legis.iowa.gov/docs/iac/chapter/481.500.pdf" Type="http://schemas.openxmlformats.org/officeDocument/2006/relationships/hyperlink" Id="rId64"/>
    <Relationship TargetMode="External" Target="https://www.legis.iowa.gov/docs/iac/rule/481.880.10.pdf" Type="http://schemas.openxmlformats.org/officeDocument/2006/relationships/hyperlink" Id="rId65"/>
    <Relationship TargetMode="External" Target="https://www.legis.iowa.gov/docs/iac/rule/481.507.3.pdf" Type="http://schemas.openxmlformats.org/officeDocument/2006/relationships/hyperlink" Id="rId66"/>
    <Relationship TargetMode="External" Target="https://www.legis.iowa.gov/docs/ico/chapter/147.83.pdf" Type="http://schemas.openxmlformats.org/officeDocument/2006/relationships/hyperlink" Id="rId67"/>
    <Relationship TargetMode="External" Target="https://www.legis.iowa.gov/docs/ico/chapter/147.86.pdf" Type="http://schemas.openxmlformats.org/officeDocument/2006/relationships/hyperlink" Id="rId68"/>
    <Relationship TargetMode="External" Target="https://www.legis.iowa.gov/docs/iac/rule/481.507.3.pdf" Type="http://schemas.openxmlformats.org/officeDocument/2006/relationships/hyperlink" Id="rId69"/>
    <Relationship TargetMode="External" Target="https://www.legis.iowa.gov/docs/ico/chapter/147.83.pdf" Type="http://schemas.openxmlformats.org/officeDocument/2006/relationships/hyperlink" Id="rId70"/>
    <Relationship TargetMode="External" Target="https://www.legis.iowa.gov/docs/ico/chapter/147.86.pdf" Type="http://schemas.openxmlformats.org/officeDocument/2006/relationships/hyperlink" Id="rId71"/>
    <Relationship TargetMode="External" Target="https://www.legis.iowa.gov/docs/iac/rule/481.507.3.pdf" Type="http://schemas.openxmlformats.org/officeDocument/2006/relationships/hyperlink" Id="rId72"/>
    <Relationship TargetMode="External" Target="https://www.legis.iowa.gov/docs/iac/rule/481.881.2.pdf" Type="http://schemas.openxmlformats.org/officeDocument/2006/relationships/hyperlink" Id="rId73"/>
    <Relationship TargetMode="External" Target="https://www.legis.iowa.gov/docs/iac/rule/481.880.12.pdf" Type="http://schemas.openxmlformats.org/officeDocument/2006/relationships/hyperlink" Id="rId74"/>
    <Relationship TargetMode="External" Target="https://www.legis.iowa.gov/docs/ico/chapter/232.69.pdf" Type="http://schemas.openxmlformats.org/officeDocument/2006/relationships/hyperlink" Id="rId75"/>
    <Relationship TargetMode="External" Target="https://www.legis.iowa.gov/docs/iac/rule/481.880.12.pdf" Type="http://schemas.openxmlformats.org/officeDocument/2006/relationships/hyperlink" Id="rId76"/>
    <Relationship TargetMode="External" Target="https://www.legis.iowa.gov/docs/ico/chapter/235B.16.pdf" Type="http://schemas.openxmlformats.org/officeDocument/2006/relationships/hyperlink" Id="rId77"/>
    <Relationship TargetMode="External" Target="https://www.legis.iowa.gov/docs/iac/rule/481.880.12.pdf" Type="http://schemas.openxmlformats.org/officeDocument/2006/relationships/hyperlink" Id="rId78"/>
    <Relationship TargetMode="External" Target="https://www.legis.iowa.gov/docs/iac/rule/481.880.12.pdf" Type="http://schemas.openxmlformats.org/officeDocument/2006/relationships/hyperlink" Id="rId79"/>
    <Relationship TargetMode="External" Target="https://www.legis.iowa.gov/docs/iac/rule/481.500.9.pdf" Type="http://schemas.openxmlformats.org/officeDocument/2006/relationships/hyperlink" Id="rId80"/>
    <Relationship TargetMode="External" Target="https://www.legis.iowa.gov/docs/iac/rule/481.880.12.pdf" Type="http://schemas.openxmlformats.org/officeDocument/2006/relationships/hyperlink" Id="rId81"/>
    <Relationship TargetMode="External" Target="https://www.legis.iowa.gov/docs/iac/rule/481.507.16.pdf" Type="http://schemas.openxmlformats.org/officeDocument/2006/relationships/hyperlink" Id="rId82"/>
    <Relationship TargetMode="External" Target="https://www.legis.iowa.gov/docs/ico/chapter/147.83.pdf" Type="http://schemas.openxmlformats.org/officeDocument/2006/relationships/hyperlink" Id="rId83"/>
    <Relationship TargetMode="External" Target="https://www.legis.iowa.gov/docs/ico/chapter/147.86.pdf" Type="http://schemas.openxmlformats.org/officeDocument/2006/relationships/hyperlink" Id="rId84"/>
    <Relationship TargetMode="External" Target="https://www.legis.iowa.gov/docs/iac/rule/481.881.2.pdf" Type="http://schemas.openxmlformats.org/officeDocument/2006/relationships/hyperlink" Id="rId85"/>
    <Relationship TargetMode="External" Target="https://www.legis.iowa.gov/docs/iac/rule/481.880.13.pdf" Type="http://schemas.openxmlformats.org/officeDocument/2006/relationships/hyperlink" Id="rId86"/>
    <Relationship TargetMode="External" Target="https://www.legis.iowa.gov/docs/ico/chapter/232.69.pdf" Type="http://schemas.openxmlformats.org/officeDocument/2006/relationships/hyperlink" Id="rId87"/>
    <Relationship TargetMode="External" Target="https://www.legis.iowa.gov/docs/iac/rule/481.880.13.pdf" Type="http://schemas.openxmlformats.org/officeDocument/2006/relationships/hyperlink" Id="rId88"/>
    <Relationship TargetMode="External" Target="https://www.legis.iowa.gov/docs/ico/chapter/235B.16.pdf" Type="http://schemas.openxmlformats.org/officeDocument/2006/relationships/hyperlink" Id="rId89"/>
    <Relationship TargetMode="External" Target="https://www.legis.iowa.gov/docs/iac/rule/481.880.13.pdf" Type="http://schemas.openxmlformats.org/officeDocument/2006/relationships/hyperlink" Id="rId90"/>
    <Relationship TargetMode="External" Target="https://www.legis.iowa.gov/docs/iac/rule/481.880.13.pdf" Type="http://schemas.openxmlformats.org/officeDocument/2006/relationships/hyperlink" Id="rId91"/>
    <Relationship TargetMode="External" Target="https://www.legis.iowa.gov/docs/iac/rule/481.500.9.pdf" Type="http://schemas.openxmlformats.org/officeDocument/2006/relationships/hyperlink" Id="rId92"/>
    <Relationship TargetMode="External" Target="https://www.legis.iowa.gov/docs/iac/rule/481.880.13.pdf" Type="http://schemas.openxmlformats.org/officeDocument/2006/relationships/hyperlink" Id="rId93"/>
    <Relationship TargetMode="External" Target="https://www.legis.iowa.gov/docs/ico/chapter/147.83.pdf" Type="http://schemas.openxmlformats.org/officeDocument/2006/relationships/hyperlink" Id="rId94"/>
    <Relationship TargetMode="External" Target="https://www.legis.iowa.gov/docs/ico/chapter/147.86.pdf" Type="http://schemas.openxmlformats.org/officeDocument/2006/relationships/hyperlink" Id="rId95"/>
    <Relationship TargetMode="External" Target="https://www.legis.iowa.gov/docs/iac/chapter/481.507.pdf" Type="http://schemas.openxmlformats.org/officeDocument/2006/relationships/hyperlink" Id="rId96"/>
    <Relationship TargetMode="External" Target="https://www.legis.iowa.gov/docs/iac/rule/481.880.14.pdf" Type="http://schemas.openxmlformats.org/officeDocument/2006/relationships/hyperlink" Id="rId97"/>
    <Relationship TargetMode="External" Target="https://www.legis.iowa.gov/docs/iac/rule/481.880.14.pdf" Type="http://schemas.openxmlformats.org/officeDocument/2006/relationships/hyperlink" Id="rId98"/>
    <Relationship TargetMode="External" Target="https://www.legis.iowa.gov/docs/iac/rule/481.506.31.pdf" Type="http://schemas.openxmlformats.org/officeDocument/2006/relationships/hyperlink" Id="rId99"/>
    <Relationship TargetMode="External" Target="https://www.legis.iowa.gov/docs/iac/rule/481.880.14.pdf" Type="http://schemas.openxmlformats.org/officeDocument/2006/relationships/hyperlink" Id="rId100"/>
    <Relationship TargetMode="External" Target="https://www.legis.iowa.gov/docs/iac/rule/481.880.4.pdf" Type="http://schemas.openxmlformats.org/officeDocument/2006/relationships/hyperlink" Id="rId101"/>
    <Relationship TargetMode="External" Target="https://www.legis.iowa.gov/docs/iac/rule/481.880.8.pdf" Type="http://schemas.openxmlformats.org/officeDocument/2006/relationships/hyperlink" Id="rId102"/>
    <Relationship TargetMode="External" Target="https://www.legis.iowa.gov/docs/iac/chapter/481.881.pdf" Type="http://schemas.openxmlformats.org/officeDocument/2006/relationships/hyperlink" Id="rId103"/>
    <Relationship TargetMode="External" Target="https://www.legis.iowa.gov/docs/iac/chapter/481.882.pdf" Type="http://schemas.openxmlformats.org/officeDocument/2006/relationships/hyperlink" Id="rId104"/>
    <Relationship TargetMode="External" Target="https://www.legis.iowa.gov/docs/iac/chapter/481.884.pdf" Type="http://schemas.openxmlformats.org/officeDocument/2006/relationships/hyperlink" Id="rId105"/>
    <Relationship TargetMode="External" Target="https://www.legis.iowa.gov/docs/iac/chapter/481.885.pdf" Type="http://schemas.openxmlformats.org/officeDocument/2006/relationships/hyperlink" Id="rId106"/>
    <Relationship TargetMode="External" Target="https://www.legis.iowa.gov/docs/ico/chapter/17A.pdf" Type="http://schemas.openxmlformats.org/officeDocument/2006/relationships/hyperlink" Id="rId107"/>
    <Relationship TargetMode="External" Target="https://www.legis.iowa.gov/docs/ico/chapter/147H.pdf" Type="http://schemas.openxmlformats.org/officeDocument/2006/relationships/hyperlink" Id="rId108"/>
    <Relationship TargetMode="External" Target="https://www.legis.iowa.gov/docs/ico/chapter/272C.pdf" Type="http://schemas.openxmlformats.org/officeDocument/2006/relationships/hyperlink" Id="rId109"/>
    <Relationship TargetMode="External" Target="https://www.legis.iowa.gov/docs/iac/chapter/481.503.pdf" Type="http://schemas.openxmlformats.org/officeDocument/2006/relationships/hyperlink" Id="rId110"/>
    <Relationship TargetMode="External" Target="https://www.legis.iowa.gov/docs/iac/chapter/481.504.pdf" Type="http://schemas.openxmlformats.org/officeDocument/2006/relationships/hyperlink" Id="rId111"/>
    <Relationship TargetMode="External" Target="https://www.legis.iowa.gov/docs/iac/chapter/481.506.pdf" Type="http://schemas.openxmlformats.org/officeDocument/2006/relationships/hyperlink" Id="rId112"/>
    <Relationship TargetMode="External" Target="https://www.legis.iowa.gov/docs/ico/chapter/147H.pdf" Type="http://schemas.openxmlformats.org/officeDocument/2006/relationships/hyperlink" Id="rId113"/>
    <Relationship TargetMode="External" Target="https://www.legis.iowa.gov/docs/iac/chapter/481.881.pdf" Type="http://schemas.openxmlformats.org/officeDocument/2006/relationships/hyperlink" Id="rId114"/>
    <Relationship TargetMode="External" Target="https://www.legis.iowa.gov/docs/iac/chapter/481.882.pdf" Type="http://schemas.openxmlformats.org/officeDocument/2006/relationships/hyperlink" Id="rId115"/>
    <Relationship TargetMode="External" Target="https://www.legis.iowa.gov/docs/iac/chapter/481.884.pdf" Type="http://schemas.openxmlformats.org/officeDocument/2006/relationships/hyperlink" Id="rId116"/>
    <Relationship TargetMode="External" Target="https://www.legis.iowa.gov/docs/iac/chapter/481.885.pdf" Type="http://schemas.openxmlformats.org/officeDocument/2006/relationships/hyperlink" Id="rId117"/>
    <Relationship TargetMode="External" Target="https://www.legis.iowa.gov/docs/ico/chapter/17A.pdf" Type="http://schemas.openxmlformats.org/officeDocument/2006/relationships/hyperlink" Id="rId118"/>
    <Relationship TargetMode="External" Target="https://www.legis.iowa.gov/docs/ico/chapter/147I.pdf" Type="http://schemas.openxmlformats.org/officeDocument/2006/relationships/hyperlink" Id="rId119"/>
    <Relationship TargetMode="External" Target="https://www.legis.iowa.gov/docs/ico/chapter/272C.pdf" Type="http://schemas.openxmlformats.org/officeDocument/2006/relationships/hyperlink" Id="rId120"/>
    <Relationship TargetMode="External" Target="https://www.legis.iowa.gov/docs/iac/chapter/481.503.pdf" Type="http://schemas.openxmlformats.org/officeDocument/2006/relationships/hyperlink" Id="rId121"/>
    <Relationship TargetMode="External" Target="https://www.legis.iowa.gov/docs/iac/chapter/481.504.pdf" Type="http://schemas.openxmlformats.org/officeDocument/2006/relationships/hyperlink" Id="rId122"/>
    <Relationship TargetMode="External" Target="https://www.legis.iowa.gov/docs/iac/chapter/481.506.pdf" Type="http://schemas.openxmlformats.org/officeDocument/2006/relationships/hyperlink" Id="rId123"/>
    <Relationship TargetMode="External" Target="https://www.legis.iowa.gov/docs/ico/chapter/147I.pdf" Type="http://schemas.openxmlformats.org/officeDocument/2006/relationships/hyperlink" Id="rId124"/>
    <Relationship TargetMode="External" Target="https://www.legis.iowa.gov/docs/ico/chapter/17A.pdf" Type="http://schemas.openxmlformats.org/officeDocument/2006/relationships/hyperlink" Id="rId125"/>
    <Relationship TargetMode="External" Target="https://www.legis.iowa.gov/docs/ico/chapter/147.pdf" Type="http://schemas.openxmlformats.org/officeDocument/2006/relationships/hyperlink" Id="rId126"/>
    <Relationship TargetMode="External" Target="https://www.legis.iowa.gov/docs/ico/chapter/154B.pdf" Type="http://schemas.openxmlformats.org/officeDocument/2006/relationships/hyperlink" Id="rId127"/>
    <Relationship TargetMode="External" Target="https://www.legis.iowa.gov/docs/ico/chapter/154C.pdf" Type="http://schemas.openxmlformats.org/officeDocument/2006/relationships/hyperlink" Id="rId128"/>
    <Relationship TargetMode="External" Target="https://www.legis.iowa.gov/docs/ico/chapter/154D.pdf" Type="http://schemas.openxmlformats.org/officeDocument/2006/relationships/hyperlink" Id="rId129"/>
    <Relationship TargetMode="External" Target="https://www.legis.iowa.gov/docs/ico/chapter/272C.pdf" Type="http://schemas.openxmlformats.org/officeDocument/2006/relationships/hyperlink" Id="rId130"/>
    <Relationship Target="footer.xml" Type="http://schemas.openxmlformats.org/officeDocument/2006/relationships/footer" Id="rId1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