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862</w:t>
      </w:r>
    </w:p>
    <w:p>
      <w:pPr>
        <w:spacing w:before="0" w:after="0"/>
        <w:ind w:left="120"/>
        <w:jc w:val="center"/>
      </w:pPr>
      <w:r>
        <w:rPr>
          <w:rFonts w:ascii="Times New Roman" w:hAnsi="Times New Roman"/>
          <w:b w:val="false"/>
          <w:i w:val="false"/>
          <w:color w:val="000000"/>
          <w:sz w:val="21"/>
        </w:rPr>
        <w:t>CONTINUING EDUCATION FOR ATHLETIC TRAINERS</w:t>
      </w:r>
    </w:p>
    <w:p>
      <w:pPr>
        <w:spacing w:before="0" w:after="0"/>
        <w:ind w:left="120"/>
        <w:jc w:val="center"/>
      </w:pPr>
      <w:r>
        <w:rPr>
          <w:rFonts w:ascii="Times New Roman" w:hAnsi="Times New Roman"/>
          <w:b w:val="false"/>
          <w:i w:val="false"/>
          <w:color w:val="000000"/>
          <w:sz w:val="20"/>
        </w:rPr>
        <w:t>[Prior to 9/18/24, see Professional Licensure Division[645] Ch 352]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481—862.1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board of athletic training created under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“BOC”</w:t>
      </w:r>
      <w:r>
        <w:rPr>
          <w:rFonts w:ascii="Times New Roman" w:hAnsi="Times New Roman"/>
          <w:b w:val="false"/>
          <w:i w:val="false"/>
          <w:color w:val="000000"/>
          <w:sz w:val="22"/>
        </w:rPr>
        <w:t> </w:t>
      </w:r>
      <w:r>
        <w:rPr>
          <w:rFonts w:ascii="Times New Roman" w:hAnsi="Times New Roman"/>
          <w:b w:val="false"/>
          <w:i w:val="false"/>
          <w:color w:val="000000"/>
          <w:sz w:val="22"/>
        </w:rPr>
        <w:t>means the Board of Certification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an athletic trainer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481—862.2</w:t>
      </w:r>
      <w:r>
        <w:rPr>
          <w:rFonts w:ascii="Times New Roman" w:hAnsi="Times New Roman"/>
          <w:b/>
          <w:i w:val="false"/>
          <w:color w:val="000000"/>
          <w:sz w:val="22"/>
        </w:rPr>
        <w:t xml:space="preserve">(152D)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continuing education compliance period shall extend for a two-year period beginning on March 1 of each odd-numbered year and ending on February 28 of the next odd-numbered year. Each biennium, each person who is licensed to practice as an athletic trainer in this state will have the responsibility to finance the cost and be required to maintain BOC certification or complete a minimum of 40 hours of continuing education approved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new licensees. Those persons licensed for the first time or being licensed for the first time after a temporary license shall not be required to complete continuing education as a prerequisite for the first renewal of their licenses. Continuing education hours acquired any time from the initial licensing until the second license renewal may be used. The new licensee will be required to maintain BOC certification or complete a minimum of 40 hours of continuing education per biennium for each subsequent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862.2(4)</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Licensees may apply a maximum of 20 hours from the previous renewal period. 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9400C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481—862.3</w:t>
      </w:r>
      <w:r>
        <w:rPr>
          <w:rFonts w:ascii="Times New Roman" w:hAnsi="Times New Roman"/>
          <w:b/>
          <w:i w:val="false"/>
          <w:color w:val="000000"/>
          <w:sz w:val="22"/>
        </w:rPr>
        <w:t xml:space="preserve">(152D,272C)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may be obtained through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Completing a course provided by a BOC-approved provider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Authoring research, the results of which are published in a recognized professional publication. A licensee shall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of this chapter. Two hours of credit will be awarded for each hour of presentation. A course schedule or brochure must be maintained for audit. Presenting at a professional program does not include teaching a class at an institution of higher learning at which the applicant is regularly and primarily employed, nor does it include presentations to the lay public. A licensee may be granted no more than ten hours of continuing education credit per biennium for presenting professional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athletic training must be maintained for audit. Continuing education credit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trimester hour = 12 continuing education hours</w:t>
      </w:r>
    </w:p>
    <w:p>
      <w:pPr>
        <w:spacing w:before="0" w:after="0"/>
        <w:ind w:left="120"/>
        <w:jc w:val="both"/>
      </w:pPr>
      <w:r>
        <w:rPr>
          <w:rFonts w:ascii="Times New Roman" w:hAnsi="Times New Roman"/>
          <w:b w:val="false"/>
          <w:i w:val="false"/>
          <w:color w:val="000000"/>
          <w:sz w:val="22"/>
        </w:rPr>
        <w:t xml:space="preserve">1 academic quarter hour = 10 continuing education hours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8">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12/22/00, Notice 10/18/00—published 1/10/01, effective 2/14/01]</w:t>
      </w:r>
    </w:p>
    <w:p>
      <w:pPr>
        <w:spacing w:before="0" w:after="0"/>
        <w:ind w:left="120"/>
        <w:jc w:val="center"/>
      </w:pPr>
      <w:r>
        <w:rPr>
          <w:rFonts w:ascii="Times New Roman" w:hAnsi="Times New Roman"/>
          <w:b w:val="false"/>
          <w:i w:val="false"/>
          <w:color w:val="000000"/>
          <w:sz w:val="21"/>
        </w:rPr>
        <w:t>[Filed 3/29/02, Notice 10/3/01—published 4/17/02, effective 5/22/02]</w:t>
      </w:r>
    </w:p>
    <w:p>
      <w:pPr>
        <w:spacing w:before="0" w:after="0"/>
        <w:ind w:left="120"/>
        <w:jc w:val="center"/>
      </w:pPr>
      <w:r>
        <w:rPr>
          <w:rFonts w:ascii="Times New Roman" w:hAnsi="Times New Roman"/>
          <w:b w:val="false"/>
          <w:i w:val="false"/>
          <w:color w:val="000000"/>
          <w:sz w:val="21"/>
        </w:rPr>
        <w:t>[Filed 1/12/05, Notice 11/24/04—published 2/2/05, effective 3/9/05]</w:t>
      </w:r>
    </w:p>
    <w:p>
      <w:pPr>
        <w:spacing w:before="0" w:after="0"/>
        <w:ind w:left="120"/>
        <w:jc w:val="center"/>
      </w:pPr>
      <w:r>
        <w:rPr>
          <w:rFonts w:ascii="Times New Roman" w:hAnsi="Times New Roman"/>
          <w:b w:val="false"/>
          <w:i w:val="false"/>
          <w:color w:val="000000"/>
          <w:sz w:val="21"/>
        </w:rPr>
        <w:t>[Filed 6/22/05, Notice 4/13/05—published 7/20/05, effective 8/24/05]</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6265C</w:t>
      </w:r>
      <w:r>
        <w:rPr>
          <w:rFonts w:ascii="Times New Roman" w:hAnsi="Times New Roman"/>
          <w:b w:val="false"/>
          <w:i w:val="false"/>
          <w:color w:val="000000"/>
          <w:sz w:val="21"/>
        </w:rPr>
        <w:t xml:space="preserve"> (Notice ARC 6027C, IAB 11/3/21)</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6984C</w:t>
      </w:r>
      <w:r>
        <w:rPr>
          <w:rFonts w:ascii="Times New Roman" w:hAnsi="Times New Roman"/>
          <w:b w:val="false"/>
          <w:i w:val="false"/>
          <w:color w:val="000000"/>
          <w:sz w:val="21"/>
        </w:rPr>
        <w:t xml:space="preserve"> (Notice ARC 6660C,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7929C</w:t>
      </w:r>
      <w:r>
        <w:rPr>
          <w:rFonts w:ascii="Times New Roman" w:hAnsi="Times New Roman"/>
          <w:b w:val="false"/>
          <w:i w:val="false"/>
          <w:color w:val="000000"/>
          <w:sz w:val="21"/>
        </w:rPr>
        <w:t xml:space="preserve"> (Notice ARC 7554C,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9400C</w:t>
      </w:r>
      <w:r>
        <w:rPr>
          <w:rFonts w:ascii="Times New Roman" w:hAnsi="Times New Roman"/>
          <w:b w:val="false"/>
          <w:i w:val="false"/>
          <w:color w:val="000000"/>
          <w:sz w:val="21"/>
        </w:rPr>
        <w:t xml:space="preserve"> (Notice ARC 9091C, IAB 4/16/25)</w:t>
      </w:r>
      <w:r>
        <w:rPr>
          <w:rFonts w:ascii="Times New Roman" w:hAnsi="Times New Roman"/>
          <w:b w:val="false"/>
          <w:i w:val="false"/>
          <w:color w:val="000000"/>
          <w:sz w:val="21"/>
        </w:rPr>
        <w:t>, IAB 7/9/25, effective 8/13/25]</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272C.1.pdf" Type="http://schemas.openxmlformats.org/officeDocument/2006/relationships/hyperlink" Id="rId6"/>
    <Relationship TargetMode="External" Target="https://www.legis.iowa.gov/docs/ico/chapter/272C.2.pdf" Type="http://schemas.openxmlformats.org/officeDocument/2006/relationships/hyperlink" Id="rId7"/>
    <Relationship TargetMode="External" Target="https://www.legis.iowa.gov/docs/ico/chapter/152D.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