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pBdr>
          <w:bottom w:space="3"/>
        </w:pBdr>
        <w:spacing w:before="0" w:after="0"/>
        <w:ind w:left="120"/>
        <w:jc w:val="center"/>
      </w:pPr>
      <w:r>
        <w:rPr>
          <w:rFonts w:ascii="Times New Roman" w:hAnsi="Times New Roman"/>
          <w:b w:val="false"/>
          <w:i w:val="false"/>
          <w:color w:val="000000"/>
          <w:sz w:val="16"/>
        </w:rPr>
        <w:t xml:space="preserve"> </w:t>
      </w:r>
      <w:r>
        <w:rPr>
          <w:rFonts w:ascii="Times New Roman" w:hAnsi="Times New Roman"/>
          <w:b w:val="false"/>
          <w:i/>
          <w:color w:val="000000"/>
          <w:sz w:val="16"/>
        </w:rPr>
        <w:t>BOARD OF ATHLETIC TRAINING</w:t>
      </w:r>
      <w:r>
        <w:rPr>
          <w:rFonts w:ascii="Times New Roman" w:hAnsi="Times New Roman"/>
          <w:b w:val="false"/>
          <w:i w:val="false"/>
          <w:color w:val="000000"/>
          <w:sz w:val="16"/>
        </w:rPr>
        <w:t xml:space="preserve"> </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861</w:t>
      </w:r>
    </w:p>
    <w:p>
      <w:pPr>
        <w:spacing w:before="0" w:after="0"/>
        <w:ind w:left="120"/>
        <w:jc w:val="center"/>
      </w:pPr>
      <w:r>
        <w:rPr>
          <w:rFonts w:ascii="Times New Roman" w:hAnsi="Times New Roman"/>
          <w:b w:val="false"/>
          <w:i w:val="false"/>
          <w:color w:val="000000"/>
          <w:sz w:val="21"/>
        </w:rPr>
        <w:t>LICENSURE OF ATHLETIC TRAINERS</w:t>
      </w:r>
    </w:p>
    <w:p>
      <w:pPr>
        <w:spacing w:before="0" w:after="0"/>
        <w:ind w:left="120"/>
        <w:jc w:val="center"/>
      </w:pPr>
      <w:r>
        <w:rPr>
          <w:rFonts w:ascii="Times New Roman" w:hAnsi="Times New Roman"/>
          <w:b w:val="false"/>
          <w:i w:val="false"/>
          <w:color w:val="000000"/>
          <w:sz w:val="20"/>
        </w:rPr>
        <w:t>[Prior to 4/17/02, see rules 645—350.6(147,152D) to 645—350.10(147,152D)]</w:t>
      </w:r>
    </w:p>
    <w:p>
      <w:pPr>
        <w:spacing w:before="0" w:after="0"/>
        <w:ind w:left="120"/>
        <w:jc w:val="center"/>
      </w:pPr>
      <w:r>
        <w:rPr>
          <w:rFonts w:ascii="Times New Roman" w:hAnsi="Times New Roman"/>
          <w:b w:val="false"/>
          <w:i w:val="false"/>
          <w:color w:val="000000"/>
          <w:sz w:val="20"/>
        </w:rPr>
        <w:t>[Prior to 9/18/24, see Professional Licensure Division[645] Ch 351]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6/5/29</w:t>
      </w:r>
    </w:p>
    <w:p>
      <w:pPr>
        <w:spacing w:before="0" w:after="0"/>
        <w:ind w:left="120"/>
        <w:jc w:val="both"/>
      </w:pPr>
      <w:r>
        <w:rPr>
          <w:rFonts w:ascii="Times New Roman" w:hAnsi="Times New Roman"/>
          <w:b/>
          <w:i w:val="false"/>
          <w:color w:val="000000"/>
          <w:sz w:val="22"/>
        </w:rPr>
        <w:t>481—861.1</w:t>
      </w:r>
      <w:r>
        <w:rPr>
          <w:rFonts w:ascii="Times New Roman" w:hAnsi="Times New Roman"/>
          <w:b/>
          <w:i w:val="false"/>
          <w:color w:val="000000"/>
          <w:sz w:val="22"/>
        </w:rPr>
        <w:t xml:space="preserve">(152D)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In addition to the definitions included in Iowa Code section </w:t>
      </w:r>
      <w:hyperlink r:id="rId5">
        <w:r>
          <w:rPr>
            <w:rStyle w:val="Hyperlink"/>
            <w:rFonts w:ascii="Times New Roman" w:hAnsi="Times New Roman"/>
            <w:b w:val="false"/>
            <w:i w:val="false"/>
            <w:color w:val="000000"/>
            <w:sz w:val="22"/>
          </w:rPr>
          <w:t>152D.1</w:t>
        </w:r>
      </w:hyperlink>
      <w:r>
        <w:rPr>
          <w:rFonts w:ascii="Times New Roman" w:hAnsi="Times New Roman"/>
          <w:b w:val="false"/>
          <w:i w:val="false"/>
          <w:color w:val="000000"/>
          <w:sz w:val="22"/>
        </w:rPr>
        <w:t>,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“Active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board of athletic training created under Iowa Code chapter </w:t>
      </w:r>
      <w:hyperlink r:id="rId6">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“BOC”</w:t>
      </w:r>
      <w:r>
        <w:rPr>
          <w:rFonts w:ascii="Times New Roman" w:hAnsi="Times New Roman"/>
          <w:b w:val="false"/>
          <w:i w:val="false"/>
          <w:color w:val="000000"/>
          <w:sz w:val="22"/>
        </w:rPr>
        <w:t> </w:t>
      </w:r>
      <w:r>
        <w:rPr>
          <w:rFonts w:ascii="Times New Roman" w:hAnsi="Times New Roman"/>
          <w:b w:val="false"/>
          <w:i w:val="false"/>
          <w:color w:val="000000"/>
          <w:sz w:val="22"/>
        </w:rPr>
        <w:t>means the Board of Certification or its successor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“Directing physician”</w:t>
      </w:r>
      <w:r>
        <w:rPr>
          <w:rFonts w:ascii="Times New Roman" w:hAnsi="Times New Roman"/>
          <w:b w:val="false"/>
          <w:i w:val="false"/>
          <w:color w:val="000000"/>
          <w:sz w:val="22"/>
        </w:rPr>
        <w:t> </w:t>
      </w:r>
      <w:r>
        <w:rPr>
          <w:rFonts w:ascii="Times New Roman" w:hAnsi="Times New Roman"/>
          <w:b w:val="false"/>
          <w:i w:val="false"/>
          <w:color w:val="000000"/>
          <w:sz w:val="22"/>
        </w:rPr>
        <w:t>means a physician who supervises the athletic training services provided by a licensed athletic trainer.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that a physician directs the performance of a licensed athletic trainer in the development, implementation, and evaluation of an athletic training service plan as set out in rule </w:t>
      </w:r>
      <w:hyperlink r:id="rId7">
        <w:r>
          <w:rPr>
            <w:rStyle w:val="Hyperlink"/>
            <w:rFonts w:ascii="Times New Roman" w:hAnsi="Times New Roman"/>
            <w:b w:val="false"/>
            <w:i w:val="false"/>
            <w:color w:val="000000"/>
            <w:sz w:val="22"/>
          </w:rPr>
          <w:t>481—861.6</w:t>
        </w:r>
      </w:hyperlink>
      <w:r>
        <w:rPr>
          <w:rFonts w:ascii="Times New Roman" w:hAnsi="Times New Roman"/>
          <w:b w:val="false"/>
          <w:i w:val="false"/>
          <w:color w:val="000000"/>
          <w:sz w:val="22"/>
        </w:rPr>
        <w:t xml:space="preserve">(152D). Direction shall not be construed as requiring the personal presence of that physician at each activity of the licensed athletic trainer. It is the responsibility of the licensed athletic trainer to ensure that the practice of athletic training is carried out only under the direction of a licensed physician.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“Endorsement”</w:t>
      </w:r>
      <w:r>
        <w:rPr>
          <w:rFonts w:ascii="Times New Roman" w:hAnsi="Times New Roman"/>
          <w:b w:val="false"/>
          <w:i w:val="false"/>
          <w:color w:val="000000"/>
          <w:sz w:val="22"/>
        </w:rPr>
        <w:t> </w:t>
      </w:r>
      <w:r>
        <w:rPr>
          <w:rFonts w:ascii="Times New Roman" w:hAnsi="Times New Roman"/>
          <w:b w:val="false"/>
          <w:i w:val="false"/>
          <w:color w:val="000000"/>
          <w:sz w:val="22"/>
        </w:rPr>
        <w:t>means the issuance of an Iowa license to practice athletic training to an applicant who is currently licensed in another state that has the same or similar qualifications to those required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“Grace period”</w:t>
      </w:r>
      <w:r>
        <w:rPr>
          <w:rFonts w:ascii="Times New Roman" w:hAnsi="Times New Roman"/>
          <w:b w:val="false"/>
          <w:i w:val="false"/>
          <w:color w:val="000000"/>
          <w:sz w:val="22"/>
        </w:rPr>
        <w:t> </w:t>
      </w:r>
      <w:r>
        <w:rPr>
          <w:rFonts w:ascii="Times New Roman" w:hAnsi="Times New Roman"/>
          <w:b w:val="false"/>
          <w:i w:val="false"/>
          <w:color w:val="000000"/>
          <w:sz w:val="22"/>
        </w:rPr>
        <w:t>means the 30-day period following expiration of a license when the license is still considered to be active. In order to renew a license during the grace period, a licensee is required to pay a late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means any person licensed to practice as an athletic trainer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 expiration date”</w:t>
      </w:r>
      <w:r>
        <w:rPr>
          <w:rFonts w:ascii="Times New Roman" w:hAnsi="Times New Roman"/>
          <w:b w:val="false"/>
          <w:i w:val="false"/>
          <w:color w:val="000000"/>
          <w:sz w:val="22"/>
        </w:rPr>
        <w:t> </w:t>
      </w:r>
      <w:r>
        <w:rPr>
          <w:rFonts w:ascii="Times New Roman" w:hAnsi="Times New Roman"/>
          <w:b w:val="false"/>
          <w:i w:val="false"/>
          <w:color w:val="000000"/>
          <w:sz w:val="22"/>
        </w:rPr>
        <w:t>means February 28 of each odd-numbered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“Mandatory reporter training”</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training on identifying and reporting child abuse or dependent adult abuse as required in Iowa Code sections </w:t>
      </w:r>
      <w:hyperlink r:id="rId8">
        <w:r>
          <w:rPr>
            <w:rStyle w:val="Hyperlink"/>
            <w:rFonts w:ascii="Times New Roman" w:hAnsi="Times New Roman"/>
            <w:b w:val="false"/>
            <w:i w:val="false"/>
            <w:color w:val="000000"/>
            <w:sz w:val="22"/>
          </w:rPr>
          <w:t>323.69</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235B.16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“Physical reconditioning”</w:t>
      </w:r>
      <w:r>
        <w:rPr>
          <w:rFonts w:ascii="Times New Roman" w:hAnsi="Times New Roman"/>
          <w:b w:val="false"/>
          <w:i w:val="false"/>
          <w:color w:val="000000"/>
          <w:sz w:val="22"/>
        </w:rPr>
        <w:t> </w:t>
      </w:r>
      <w:r>
        <w:rPr>
          <w:rFonts w:ascii="Times New Roman" w:hAnsi="Times New Roman"/>
          <w:b w:val="false"/>
          <w:i w:val="false"/>
          <w:color w:val="000000"/>
          <w:sz w:val="22"/>
        </w:rPr>
        <w:t>means the part of the practice of athletic training that combines physical treatment, rehabilitation and exercise and is carried out under the orders of a physician or physician associate. Physical treatment is part of a service plan that includes but is not limited to the continued use of any of the following: cryotherapy, thermotherapy, hydrotherapy, electrotherapy, or the use of mechanical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“Physician”</w:t>
      </w:r>
      <w:r>
        <w:rPr>
          <w:rFonts w:ascii="Times New Roman" w:hAnsi="Times New Roman"/>
          <w:b w:val="false"/>
          <w:i w:val="false"/>
          <w:color w:val="000000"/>
          <w:sz w:val="22"/>
        </w:rPr>
        <w:t> </w:t>
      </w:r>
      <w:r>
        <w:rPr>
          <w:rFonts w:ascii="Times New Roman" w:hAnsi="Times New Roman"/>
          <w:b w:val="false"/>
          <w:i w:val="false"/>
          <w:color w:val="000000"/>
          <w:sz w:val="22"/>
        </w:rPr>
        <w:t>means a person licensed to practice medicine and surgery, osteopathic medicine and surgery, osteopathy, chiropractic, or podiatry under the laws of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“Reactivate”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“reactivation”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process as outlined in rule </w:t>
      </w:r>
      <w:hyperlink r:id="rId10">
        <w:r>
          <w:rPr>
            <w:rStyle w:val="Hyperlink"/>
            <w:rFonts w:ascii="Times New Roman" w:hAnsi="Times New Roman"/>
            <w:b w:val="false"/>
            <w:i w:val="false"/>
            <w:color w:val="000000"/>
            <w:sz w:val="22"/>
          </w:rPr>
          <w:t>481—861.8</w:t>
        </w:r>
      </w:hyperlink>
      <w:r>
        <w:rPr>
          <w:rFonts w:ascii="Times New Roman" w:hAnsi="Times New Roman"/>
          <w:b w:val="false"/>
          <w:i w:val="false"/>
          <w:color w:val="000000"/>
          <w:sz w:val="22"/>
        </w:rPr>
        <w:t>(17A,147,272C) by which an inactive license is restored to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“Reinstatement”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process as outlined in rule </w:t>
      </w:r>
      <w:hyperlink r:id="rId11">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(272C). Once the license is reinstated, the licensee may apply for active status.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7928C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1/22/25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481—861.2</w:t>
      </w:r>
      <w:r>
        <w:rPr>
          <w:rFonts w:ascii="Times New Roman" w:hAnsi="Times New Roman"/>
          <w:b/>
          <w:i w:val="false"/>
          <w:color w:val="000000"/>
          <w:sz w:val="22"/>
        </w:rPr>
        <w:t xml:space="preserve">(152D) </w:t>
      </w:r>
      <w:r>
        <w:rPr>
          <w:rFonts w:ascii="Times New Roman" w:hAnsi="Times New Roman"/>
          <w:b/>
          <w:i w:val="false"/>
          <w:color w:val="000000"/>
          <w:sz w:val="22"/>
        </w:rPr>
        <w:t xml:space="preserve">Initial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861.2(1)</w:t>
      </w:r>
      <w:r>
        <w:rPr>
          <w:rFonts w:ascii="Times New Roman" w:hAnsi="Times New Roman"/>
          <w:b w:val="false"/>
          <w:i w:val="false"/>
          <w:color w:val="000000"/>
          <w:sz w:val="22"/>
        </w:rPr>
        <w:t> </w:t>
      </w:r>
      <w:r>
        <w:rPr>
          <w:rFonts w:ascii="Times New Roman" w:hAnsi="Times New Roman"/>
          <w:b w:val="false"/>
          <w:i w:val="false"/>
          <w:color w:val="000000"/>
          <w:sz w:val="22"/>
        </w:rPr>
        <w:t>Requirements for licensure. The applicant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complete online application and pay the nonrefundable fee specified in rule </w:t>
      </w:r>
      <w:hyperlink r:id="rId12">
        <w:r>
          <w:rPr>
            <w:rStyle w:val="Hyperlink"/>
            <w:rFonts w:ascii="Times New Roman" w:hAnsi="Times New Roman"/>
            <w:b w:val="false"/>
            <w:i w:val="false"/>
            <w:color w:val="000000"/>
            <w:sz w:val="22"/>
          </w:rPr>
          <w:t>481—507.1</w:t>
        </w:r>
      </w:hyperlink>
      <w:r>
        <w:rPr>
          <w:rFonts w:ascii="Times New Roman" w:hAnsi="Times New Roman"/>
          <w:b w:val="false"/>
          <w:i w:val="false"/>
          <w:color w:val="000000"/>
          <w:sz w:val="22"/>
        </w:rPr>
        <w:t>(147,152D). If the application is not completed according to the instructions, the application will not be reviewed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official copies of academic transcripts directly from the school to the board of athletic training. No application will be considered by the board until official copies of academic transcripts have been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successfully completed the BOC examination. It is the responsibility of the applicant to make arrangements to take the examination and have the official results submitted to the Iowa board of athletic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verification of license from the jurisdiction in which the applicant has been most recently licensed, sent directly from the jurisdiction to the board office. The applicant must also disclose any public or pending complaints against the applicant in any other jurisdiction.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861.2(2)</w:t>
      </w:r>
      <w:r>
        <w:rPr>
          <w:rFonts w:ascii="Times New Roman" w:hAnsi="Times New Roman"/>
          <w:b w:val="false"/>
          <w:i w:val="false"/>
          <w:color w:val="000000"/>
          <w:sz w:val="22"/>
        </w:rPr>
        <w:t> </w:t>
      </w:r>
      <w:r>
        <w:rPr>
          <w:rFonts w:ascii="Times New Roman" w:hAnsi="Times New Roman"/>
          <w:b w:val="false"/>
          <w:i w:val="false"/>
          <w:color w:val="000000"/>
          <w:sz w:val="22"/>
        </w:rPr>
        <w:t>Web-based verification may be substituted for verification direct from the jurisdiction’s board office if the verification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actions taken against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861.2(3)</w:t>
      </w:r>
      <w:r>
        <w:rPr>
          <w:rFonts w:ascii="Times New Roman" w:hAnsi="Times New Roman"/>
          <w:b w:val="false"/>
          <w:i w:val="false"/>
          <w:color w:val="000000"/>
          <w:sz w:val="22"/>
        </w:rPr>
        <w:t> </w:t>
      </w:r>
      <w:r>
        <w:rPr>
          <w:rFonts w:ascii="Times New Roman" w:hAnsi="Times New Roman"/>
          <w:b w:val="false"/>
          <w:i w:val="false"/>
          <w:color w:val="000000"/>
          <w:sz w:val="22"/>
        </w:rPr>
        <w:t>Licensure by endorsement. An athletic trainer applicant who holds a license from the District of Columbia or another state, territory, province or foreign country may be eligible for licensure by endorsement and may direct the BOC to submit: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current certification status,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passing score on the examination of the BOCs.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861.2(4)</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Licensure by verification. A person who is licensed in another jurisdiction but who is unable to satisfy the requirements for licensure by endorsement may apply for licensure by verification, if eligible, in accordance with rule </w:t>
      </w:r>
      <w:hyperlink r:id="rId13">
        <w:r>
          <w:rPr>
            <w:rStyle w:val="Hyperlink"/>
            <w:rFonts w:ascii="Times New Roman" w:hAnsi="Times New Roman"/>
            <w:b w:val="false"/>
            <w:i w:val="false"/>
            <w:color w:val="000000"/>
            <w:sz w:val="22"/>
          </w:rPr>
          <w:t>481—501.1</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861.2(5)</w:t>
      </w:r>
      <w:r>
        <w:rPr>
          <w:rFonts w:ascii="Times New Roman" w:hAnsi="Times New Roman"/>
          <w:b w:val="false"/>
          <w:i w:val="false"/>
          <w:color w:val="000000"/>
          <w:sz w:val="22"/>
        </w:rPr>
        <w:t> </w:t>
      </w:r>
      <w:r>
        <w:rPr>
          <w:rFonts w:ascii="Times New Roman" w:hAnsi="Times New Roman"/>
          <w:b w:val="false"/>
          <w:i w:val="false"/>
          <w:color w:val="000000"/>
          <w:sz w:val="22"/>
        </w:rPr>
        <w:t>Incomplete applications that have been on file in the board office for more than two years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Considered invalid and shall be destroyed;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Maintained upon written request of the candidate. The candidate is responsible for requesting that the file be maintained.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7928C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481—861.3</w:t>
      </w:r>
      <w:r>
        <w:rPr>
          <w:rFonts w:ascii="Times New Roman" w:hAnsi="Times New Roman"/>
          <w:b/>
          <w:i w:val="false"/>
          <w:color w:val="000000"/>
          <w:sz w:val="22"/>
        </w:rPr>
        <w:t xml:space="preserve">(152D) </w:t>
      </w:r>
      <w:r>
        <w:rPr>
          <w:rFonts w:ascii="Times New Roman" w:hAnsi="Times New Roman"/>
          <w:b/>
          <w:i w:val="false"/>
          <w:color w:val="000000"/>
          <w:sz w:val="22"/>
        </w:rPr>
        <w:t xml:space="preserve">Educational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861.3(1)</w:t>
      </w:r>
      <w:r>
        <w:rPr>
          <w:rFonts w:ascii="Times New Roman" w:hAnsi="Times New Roman"/>
          <w:b w:val="false"/>
          <w:i w:val="false"/>
          <w:color w:val="000000"/>
          <w:sz w:val="22"/>
        </w:rPr>
        <w:t> </w:t>
      </w:r>
      <w:r>
        <w:rPr>
          <w:rFonts w:ascii="Times New Roman" w:hAnsi="Times New Roman"/>
          <w:b w:val="false"/>
          <w:i w:val="false"/>
          <w:color w:val="000000"/>
          <w:sz w:val="22"/>
        </w:rPr>
        <w:t>An applicant for licensure to practice as an athletic trainer shall possess a baccalaureate degree or postbaccalaureate degree from a U.S. regionally accredited college or university.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861.3(2)</w:t>
      </w:r>
      <w:r>
        <w:rPr>
          <w:rFonts w:ascii="Times New Roman" w:hAnsi="Times New Roman"/>
          <w:b w:val="false"/>
          <w:i w:val="false"/>
          <w:color w:val="000000"/>
          <w:sz w:val="22"/>
        </w:rPr>
        <w:t> </w:t>
      </w:r>
      <w:r>
        <w:rPr>
          <w:rFonts w:ascii="Times New Roman" w:hAnsi="Times New Roman"/>
          <w:b w:val="false"/>
          <w:i w:val="false"/>
          <w:color w:val="000000"/>
          <w:sz w:val="22"/>
        </w:rPr>
        <w:t>Foreign-trained athletic trainers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an equivalency evaluation of their educational credentials by International Education Research Foundation, Inc., Credentials Evaluation Service, P.O. Box 3665, Culver City, CA 90231-3665; telephone 310.258.9451; website </w:t>
      </w:r>
      <w:hyperlink r:id="rId14">
        <w:r>
          <w:rPr>
            <w:rStyle w:val="Hyperlink"/>
            <w:rFonts w:ascii="Times New Roman" w:hAnsi="Times New Roman"/>
            <w:b w:val="false"/>
            <w:i w:val="false"/>
            <w:color w:val="000000"/>
            <w:sz w:val="22"/>
            <w:u w:val="single"/>
          </w:rPr>
          <w:t>www.ierf.org</w:t>
        </w:r>
      </w:hyperlink>
      <w:r>
        <w:rPr>
          <w:rFonts w:ascii="Times New Roman" w:hAnsi="Times New Roman"/>
          <w:b w:val="false"/>
          <w:i w:val="false"/>
          <w:color w:val="000000"/>
          <w:sz w:val="22"/>
        </w:rPr>
        <w:t xml:space="preserve"> or email at </w:t>
      </w:r>
      <w:hyperlink r:id="rId15">
        <w:r>
          <w:rPr>
            <w:rStyle w:val="Hyperlink"/>
            <w:rFonts w:ascii="Times New Roman" w:hAnsi="Times New Roman"/>
            <w:b w:val="false"/>
            <w:i w:val="false"/>
            <w:color w:val="000000"/>
            <w:sz w:val="22"/>
            <w:u w:val="single"/>
          </w:rPr>
          <w:t>info@ierf.org</w:t>
        </w:r>
      </w:hyperlink>
      <w:r>
        <w:rPr>
          <w:rFonts w:ascii="Times New Roman" w:hAnsi="Times New Roman"/>
          <w:b w:val="false"/>
          <w:i w:val="false"/>
          <w:color w:val="000000"/>
          <w:sz w:val="22"/>
        </w:rPr>
        <w:t>. The professional curriculum must be equivalent to that stated in these rules. A candidate shall bear the expense of the curriculum evaluation. An applicant who has passed the BOC examination is exempt from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a copy of the certificate or diploma awarded to the applicant from an athletic training program in the country in which the applicant was educated. An applicant who has passed the BOC examination is exempt from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Receive a final determination from the board regarding the application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Pass the BOC examination. Official results are to be submitted directly to the board from the BOC.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861.3(3)</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has relocated to Iowa from a state that did not require licensure to practice the profession may submit proof of work experience in lieu of educational and training requirements, if eligible, in accordance with rule </w:t>
      </w:r>
      <w:hyperlink r:id="rId16">
        <w:r>
          <w:rPr>
            <w:rStyle w:val="Hyperlink"/>
            <w:rFonts w:ascii="Times New Roman" w:hAnsi="Times New Roman"/>
            <w:b w:val="false"/>
            <w:i w:val="false"/>
            <w:color w:val="000000"/>
            <w:sz w:val="22"/>
          </w:rPr>
          <w:t>481—501.2</w:t>
        </w:r>
      </w:hyperlink>
      <w:r>
        <w:rPr>
          <w:rFonts w:ascii="Times New Roman" w:hAnsi="Times New Roman"/>
          <w:b w:val="false"/>
          <w:i w:val="false"/>
          <w:color w:val="000000"/>
          <w:sz w:val="22"/>
        </w:rPr>
        <w:t>(272C).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7928C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481—861.4</w:t>
      </w:r>
      <w:r>
        <w:rPr>
          <w:rFonts w:ascii="Times New Roman" w:hAnsi="Times New Roman"/>
          <w:b/>
          <w:i w:val="false"/>
          <w:color w:val="000000"/>
          <w:sz w:val="22"/>
        </w:rPr>
        <w:t xml:space="preserve">(152D) </w:t>
      </w:r>
      <w:r>
        <w:rPr>
          <w:rFonts w:ascii="Times New Roman" w:hAnsi="Times New Roman"/>
          <w:b/>
          <w:i w:val="false"/>
          <w:color w:val="000000"/>
          <w:sz w:val="22"/>
        </w:rPr>
        <w:t xml:space="preserve">Examination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examination required by the board shall be the BOC examination. Application and information may be obtained from the BOC Offices, 1411 Harney Street, Suite 200, Omaha, NE 68102; telephone 402.559.0091; website </w:t>
      </w:r>
      <w:hyperlink r:id="rId17">
        <w:r>
          <w:rPr>
            <w:rStyle w:val="Hyperlink"/>
            <w:rFonts w:ascii="Times New Roman" w:hAnsi="Times New Roman"/>
            <w:b w:val="false"/>
            <w:i w:val="false"/>
            <w:color w:val="000000"/>
            <w:sz w:val="22"/>
            <w:u w:val="single"/>
          </w:rPr>
          <w:t>www.bocatc.org</w:t>
        </w:r>
      </w:hyperlink>
      <w:r>
        <w:rPr>
          <w:rFonts w:ascii="Times New Roman" w:hAnsi="Times New Roman"/>
          <w:b w:val="false"/>
          <w:i w:val="false"/>
          <w:color w:val="000000"/>
          <w:sz w:val="22"/>
        </w:rPr>
        <w:t xml:space="preserve"> or email at </w:t>
      </w:r>
      <w:hyperlink r:id="rId18">
        <w:r>
          <w:rPr>
            <w:rStyle w:val="Hyperlink"/>
            <w:rFonts w:ascii="Times New Roman" w:hAnsi="Times New Roman"/>
            <w:b w:val="false"/>
            <w:i w:val="false"/>
            <w:color w:val="000000"/>
            <w:sz w:val="22"/>
            <w:u w:val="single"/>
          </w:rPr>
          <w:t>BOC@bocatc.org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861.4(2)</w:t>
      </w:r>
      <w:r>
        <w:rPr>
          <w:rFonts w:ascii="Times New Roman" w:hAnsi="Times New Roman"/>
          <w:b w:val="false"/>
          <w:i w:val="false"/>
          <w:color w:val="000000"/>
          <w:sz w:val="22"/>
        </w:rPr>
        <w:t> </w:t>
      </w:r>
      <w:r>
        <w:rPr>
          <w:rFonts w:ascii="Times New Roman" w:hAnsi="Times New Roman"/>
          <w:b w:val="false"/>
          <w:i w:val="false"/>
          <w:color w:val="000000"/>
          <w:sz w:val="22"/>
        </w:rPr>
        <w:t>The applicant has responsibility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Making arrangements to take the national examination;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Arranging to have the examination scores sent directly to the board from BOC.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7928C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481—861.5</w:t>
      </w:r>
      <w:r>
        <w:rPr>
          <w:rFonts w:ascii="Times New Roman" w:hAnsi="Times New Roman"/>
          <w:b/>
          <w:i w:val="false"/>
          <w:color w:val="000000"/>
          <w:sz w:val="22"/>
        </w:rPr>
        <w:t xml:space="preserve">(152D) </w:t>
      </w:r>
      <w:r>
        <w:rPr>
          <w:rFonts w:ascii="Times New Roman" w:hAnsi="Times New Roman"/>
          <w:b/>
          <w:i w:val="false"/>
          <w:color w:val="000000"/>
          <w:sz w:val="22"/>
        </w:rPr>
        <w:t xml:space="preserve">Documentation of physician direction. </w:t>
      </w:r>
      <w:r>
        <w:rPr>
          <w:rFonts w:ascii="Times New Roman" w:hAnsi="Times New Roman"/>
          <w:b w:val="false"/>
          <w:i w:val="false"/>
          <w:color w:val="000000"/>
          <w:sz w:val="22"/>
        </w:rPr>
        <w:t>Each licensee must maintain documentation of physician direction. It is the responsibility of the licensee to ensure that documentation of physician direction is obtained and maintained, including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Athletic training service plan as set out in rule </w:t>
      </w:r>
      <w:hyperlink r:id="rId19">
        <w:r>
          <w:rPr>
            <w:rStyle w:val="Hyperlink"/>
            <w:rFonts w:ascii="Times New Roman" w:hAnsi="Times New Roman"/>
            <w:b w:val="false"/>
            <w:i w:val="false"/>
            <w:color w:val="000000"/>
            <w:sz w:val="22"/>
          </w:rPr>
          <w:t>481—861.6</w:t>
        </w:r>
      </w:hyperlink>
      <w:r>
        <w:rPr>
          <w:rFonts w:ascii="Times New Roman" w:hAnsi="Times New Roman"/>
          <w:b w:val="false"/>
          <w:i w:val="false"/>
          <w:color w:val="000000"/>
          <w:sz w:val="22"/>
        </w:rPr>
        <w:t>(152D);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Dates and names of physician and physician associate orders or referrals;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Initial evaluations and assessments;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Treatments and services rendered, with dates;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Dates of subsequent follow-up care.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7928C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481—861.6</w:t>
      </w:r>
      <w:r>
        <w:rPr>
          <w:rFonts w:ascii="Times New Roman" w:hAnsi="Times New Roman"/>
          <w:b/>
          <w:i w:val="false"/>
          <w:color w:val="000000"/>
          <w:sz w:val="22"/>
        </w:rPr>
        <w:t xml:space="preserve">(152D) </w:t>
      </w:r>
      <w:r>
        <w:rPr>
          <w:rFonts w:ascii="Times New Roman" w:hAnsi="Times New Roman"/>
          <w:b/>
          <w:i w:val="false"/>
          <w:color w:val="000000"/>
          <w:sz w:val="22"/>
        </w:rPr>
        <w:t xml:space="preserve">Athletic training standards of professional practice. </w:t>
      </w:r>
      <w:r>
        <w:rPr>
          <w:rFonts w:ascii="Times New Roman" w:hAnsi="Times New Roman"/>
          <w:b w:val="false"/>
          <w:i w:val="false"/>
          <w:color w:val="000000"/>
          <w:sz w:val="22"/>
        </w:rPr>
        <w:t>Athletic training service plans shall be composed of the following components as taken from the Board of Certification Standards of Professional Practice (January 2018):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861.6(1)</w:t>
      </w:r>
      <w:r>
        <w:rPr>
          <w:rFonts w:ascii="Times New Roman" w:hAnsi="Times New Roman"/>
          <w:b w:val="false"/>
          <w:i w:val="false"/>
          <w:color w:val="000000"/>
          <w:sz w:val="22"/>
        </w:rPr>
        <w:t> </w:t>
      </w:r>
      <w:r>
        <w:rPr>
          <w:rFonts w:ascii="Times New Roman" w:hAnsi="Times New Roman"/>
          <w:b w:val="false"/>
          <w:i w:val="false"/>
          <w:color w:val="000000"/>
          <w:sz w:val="22"/>
        </w:rPr>
        <w:t>Practice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861.6(2)</w:t>
      </w:r>
      <w:r>
        <w:rPr>
          <w:rFonts w:ascii="Times New Roman" w:hAnsi="Times New Roman"/>
          <w:b w:val="false"/>
          <w:i w:val="false"/>
          <w:color w:val="000000"/>
          <w:sz w:val="22"/>
        </w:rPr>
        <w:t> </w:t>
      </w:r>
      <w:r>
        <w:rPr>
          <w:rFonts w:ascii="Times New Roman" w:hAnsi="Times New Roman"/>
          <w:b w:val="false"/>
          <w:i w:val="false"/>
          <w:color w:val="000000"/>
          <w:sz w:val="22"/>
        </w:rPr>
        <w:t xml:space="preserve">Code of Professional Responsibility.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7928C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481—861.7</w:t>
      </w:r>
      <w:r>
        <w:rPr>
          <w:rFonts w:ascii="Times New Roman" w:hAnsi="Times New Roman"/>
          <w:b/>
          <w:i w:val="false"/>
          <w:color w:val="000000"/>
          <w:sz w:val="22"/>
        </w:rPr>
        <w:t xml:space="preserve">(147)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861.7(1)</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period for a license to practice athletic training shall begin on March 1 of each odd-numbered year and end on February 28 of the next odd-numbered year. The licensee is responsible for renewing the license prior to its expiration. Failure of the licensee to receive notice from the board does not relieve the licensee of the responsibility for renewing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861.7(2)</w:t>
      </w:r>
      <w:r>
        <w:rPr>
          <w:rFonts w:ascii="Times New Roman" w:hAnsi="Times New Roman"/>
          <w:b w:val="false"/>
          <w:i w:val="false"/>
          <w:color w:val="000000"/>
          <w:sz w:val="22"/>
        </w:rPr>
        <w:t> </w:t>
      </w:r>
      <w:r>
        <w:rPr>
          <w:rFonts w:ascii="Times New Roman" w:hAnsi="Times New Roman"/>
          <w:b w:val="false"/>
          <w:i w:val="false"/>
          <w:color w:val="000000"/>
          <w:sz w:val="22"/>
        </w:rPr>
        <w:t>An individual who was issued a license within six months of the license renewal date will not be required to renew the license until the subsequent renewal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861.7(3)</w:t>
      </w:r>
      <w:r>
        <w:rPr>
          <w:rFonts w:ascii="Times New Roman" w:hAnsi="Times New Roman"/>
          <w:b w:val="false"/>
          <w:i w:val="false"/>
          <w:color w:val="000000"/>
          <w:sz w:val="22"/>
        </w:rPr>
        <w:t> </w:t>
      </w:r>
      <w:r>
        <w:rPr>
          <w:rFonts w:ascii="Times New Roman" w:hAnsi="Times New Roman"/>
          <w:b w:val="false"/>
          <w:i w:val="false"/>
          <w:color w:val="000000"/>
          <w:sz w:val="22"/>
        </w:rPr>
        <w:t>A licensee seeking renewal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continuing education requirements of rule </w:t>
      </w:r>
      <w:hyperlink r:id="rId20">
        <w:r>
          <w:rPr>
            <w:rStyle w:val="Hyperlink"/>
            <w:rFonts w:ascii="Times New Roman" w:hAnsi="Times New Roman"/>
            <w:b w:val="false"/>
            <w:i w:val="false"/>
            <w:color w:val="000000"/>
            <w:sz w:val="22"/>
          </w:rPr>
          <w:t>481—862.2</w:t>
        </w:r>
      </w:hyperlink>
      <w:r>
        <w:rPr>
          <w:rFonts w:ascii="Times New Roman" w:hAnsi="Times New Roman"/>
          <w:b w:val="false"/>
          <w:i w:val="false"/>
          <w:color w:val="000000"/>
          <w:sz w:val="22"/>
        </w:rPr>
        <w:t xml:space="preserve">(152D) and the mandatory reporting requirements of subrule </w:t>
      </w:r>
      <w:r>
        <w:rPr>
          <w:rFonts w:ascii="Times New Roman" w:hAnsi="Times New Roman"/>
          <w:b w:val="false"/>
          <w:i w:val="false"/>
          <w:color w:val="000000"/>
          <w:sz w:val="22"/>
        </w:rPr>
        <w:t>861.9(4)</w:t>
      </w:r>
      <w:r>
        <w:rPr>
          <w:rFonts w:ascii="Times New Roman" w:hAnsi="Times New Roman"/>
          <w:b w:val="false"/>
          <w:i w:val="false"/>
          <w:color w:val="000000"/>
          <w:sz w:val="22"/>
        </w:rPr>
        <w:t>. A licensee whose license was reactivated during the current renewal compliance period may use continuing education credit earned during the compliance period for the first renewal following reactivation;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completed renewal application and renewal fee before the license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861.7(4)</w:t>
      </w:r>
      <w:r>
        <w:rPr>
          <w:rFonts w:ascii="Times New Roman" w:hAnsi="Times New Roman"/>
          <w:b w:val="false"/>
          <w:i w:val="false"/>
          <w:color w:val="000000"/>
          <w:sz w:val="22"/>
        </w:rPr>
        <w:t> </w:t>
      </w:r>
      <w:r>
        <w:rPr>
          <w:rFonts w:ascii="Times New Roman" w:hAnsi="Times New Roman"/>
          <w:b w:val="false"/>
          <w:i w:val="false"/>
          <w:color w:val="000000"/>
          <w:sz w:val="22"/>
        </w:rPr>
        <w:t>Mandatory reporter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in the scope of professional practice or in the licensee’s employment responsibilities, examines, attends, counsels or treats children in Iowa shall indicate on the renewal application completion of training in child abuse identification and reporting as required by Iowa Code section </w:t>
      </w:r>
      <w:hyperlink r:id="rId21">
        <w:r>
          <w:rPr>
            <w:rStyle w:val="Hyperlink"/>
            <w:rFonts w:ascii="Times New Roman" w:hAnsi="Times New Roman"/>
            <w:b w:val="false"/>
            <w:i w:val="false"/>
            <w:color w:val="000000"/>
            <w:sz w:val="22"/>
          </w:rPr>
          <w:t>232.69(3)</w:t>
        </w:r>
      </w:hyperlink>
      <w:r>
        <w:rPr>
          <w:rFonts w:ascii="Times New Roman" w:hAnsi="Times New Roman"/>
          <w:b w:val="false"/>
          <w:i/>
          <w:color w:val="000000"/>
          <w:sz w:val="22"/>
        </w:rPr>
        <w:t>“b”</w:t>
      </w:r>
      <w:r>
        <w:rPr>
          <w:rFonts w:ascii="Times New Roman" w:hAnsi="Times New Roman"/>
          <w:b w:val="false"/>
          <w:i w:val="false"/>
          <w:color w:val="000000"/>
          <w:sz w:val="22"/>
        </w:rPr>
        <w:t xml:space="preserve"> in the previous three years or condition(s) for waiver of this requirement as identified in paragraph </w:t>
      </w:r>
      <w:r>
        <w:rPr>
          <w:rFonts w:ascii="Times New Roman" w:hAnsi="Times New Roman"/>
          <w:b w:val="false"/>
          <w:i w:val="false"/>
          <w:color w:val="000000"/>
          <w:sz w:val="22"/>
        </w:rPr>
        <w:t>861.7(4)</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in the course of employment, examines, attends, counsels or treats adults in Iowa shall indicate on the renewal application completion of training in dependent adult abuse identification and reporting as required by Iowa Code section </w:t>
      </w:r>
      <w:hyperlink r:id="rId22">
        <w:r>
          <w:rPr>
            <w:rStyle w:val="Hyperlink"/>
            <w:rFonts w:ascii="Times New Roman" w:hAnsi="Times New Roman"/>
            <w:b w:val="false"/>
            <w:i w:val="false"/>
            <w:color w:val="000000"/>
            <w:sz w:val="22"/>
          </w:rPr>
          <w:t>235B.16(5)</w:t>
        </w:r>
      </w:hyperlink>
      <w:r>
        <w:rPr>
          <w:rFonts w:ascii="Times New Roman" w:hAnsi="Times New Roman"/>
          <w:b w:val="false"/>
          <w:i/>
          <w:color w:val="000000"/>
          <w:sz w:val="22"/>
        </w:rPr>
        <w:t>“b”</w:t>
      </w:r>
      <w:r>
        <w:rPr>
          <w:rFonts w:ascii="Times New Roman" w:hAnsi="Times New Roman"/>
          <w:b w:val="false"/>
          <w:i w:val="false"/>
          <w:color w:val="000000"/>
          <w:sz w:val="22"/>
        </w:rPr>
        <w:t xml:space="preserve"> in the previous three years or condition(s) for waiver of this requirement as identified in paragraph </w:t>
      </w:r>
      <w:r>
        <w:rPr>
          <w:rFonts w:ascii="Times New Roman" w:hAnsi="Times New Roman"/>
          <w:b w:val="false"/>
          <w:i w:val="false"/>
          <w:color w:val="000000"/>
          <w:sz w:val="22"/>
        </w:rPr>
        <w:t>861.7(4)</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course(s) shall be the curriculum provided by the Iowa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shall maintain written documentation for three years after mandatory training as identified in paragraphs </w:t>
      </w:r>
      <w:r>
        <w:rPr>
          <w:rFonts w:ascii="Times New Roman" w:hAnsi="Times New Roman"/>
          <w:b w:val="false"/>
          <w:i w:val="false"/>
          <w:color w:val="000000"/>
          <w:sz w:val="22"/>
        </w:rPr>
        <w:t>861.7(4)</w:t>
      </w:r>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“c,”</w:t>
      </w:r>
      <w:r>
        <w:rPr>
          <w:rFonts w:ascii="Times New Roman" w:hAnsi="Times New Roman"/>
          <w:b w:val="false"/>
          <w:i w:val="false"/>
          <w:color w:val="000000"/>
          <w:sz w:val="22"/>
        </w:rPr>
        <w:t xml:space="preserve"> including program date(s), content, duration, and proof of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requirement for mandatory training for identifying and reporting child and dependent adult abuse shall be suspended if the board determines that suspension is in the public interest or that a person at the time of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engaged in active duty in the military service of this state or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Holds a current waiver by the board based on evidence of significant hardship in complying with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select licensees for audit of compliance with the requirements in paragraphs </w:t>
      </w:r>
      <w:r>
        <w:rPr>
          <w:rFonts w:ascii="Times New Roman" w:hAnsi="Times New Roman"/>
          <w:b w:val="false"/>
          <w:i w:val="false"/>
          <w:color w:val="000000"/>
          <w:sz w:val="22"/>
        </w:rPr>
        <w:t>861.7(4)</w:t>
      </w:r>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861.7(5)</w:t>
      </w:r>
      <w:r>
        <w:rPr>
          <w:rFonts w:ascii="Times New Roman" w:hAnsi="Times New Roman"/>
          <w:b w:val="false"/>
          <w:i w:val="false"/>
          <w:color w:val="000000"/>
          <w:sz w:val="22"/>
        </w:rPr>
        <w:t> </w:t>
      </w:r>
      <w:r>
        <w:rPr>
          <w:rFonts w:ascii="Times New Roman" w:hAnsi="Times New Roman"/>
          <w:b w:val="false"/>
          <w:i w:val="false"/>
          <w:color w:val="000000"/>
          <w:sz w:val="22"/>
        </w:rPr>
        <w:t>Upon receiving the information required by this rule and the required fee, board staff shall administratively issue a two-year license. In the event the board receives adverse information on the renewal application, the board shall issue the renewal license but may refer the adverse information for further consideration or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861.7(6)</w:t>
      </w:r>
      <w:r>
        <w:rPr>
          <w:rFonts w:ascii="Times New Roman" w:hAnsi="Times New Roman"/>
          <w:b w:val="false"/>
          <w:i w:val="false"/>
          <w:color w:val="000000"/>
          <w:sz w:val="22"/>
        </w:rPr>
        <w:t> </w:t>
      </w:r>
      <w:r>
        <w:rPr>
          <w:rFonts w:ascii="Times New Roman" w:hAnsi="Times New Roman"/>
          <w:b w:val="false"/>
          <w:i w:val="false"/>
          <w:color w:val="000000"/>
          <w:sz w:val="22"/>
        </w:rPr>
        <w:t>A person licensed to practice as an athletic trainer shall keep the license certificate and renewal displayed in a conspicuous public place at the primary site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861.7(7)</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The license shall become late when the license has not been renewed by the expiration date on the renewal. The licensee shall be assessed a late fee as specified in </w:t>
      </w:r>
      <w:hyperlink r:id="rId23">
        <w:r>
          <w:rPr>
            <w:rStyle w:val="Hyperlink"/>
            <w:rFonts w:ascii="Times New Roman" w:hAnsi="Times New Roman"/>
            <w:b w:val="false"/>
            <w:i w:val="false"/>
            <w:color w:val="000000"/>
            <w:sz w:val="22"/>
          </w:rPr>
          <w:t>481—subrule 507.1(4)</w:t>
        </w:r>
      </w:hyperlink>
      <w:r>
        <w:rPr>
          <w:rFonts w:ascii="Times New Roman" w:hAnsi="Times New Roman"/>
          <w:b w:val="false"/>
          <w:i w:val="false"/>
          <w:color w:val="000000"/>
          <w:sz w:val="22"/>
        </w:rPr>
        <w:t>. To renew a late license, the licensee shall complete the renewal requirements and submit the late fee within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861.7(8)</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licensee who fails to renew the license by the end of the grace period has an inactive license. A licensee whose license is inactive continues to hold the privilege of licensure in Iowa, but may not practice as an athletic trainer in Iowa until the license is reactivated. A licensee who practices as an athletic trainer in the state of Iowa with an inactive license may be subject to disciplinary action by the board, injunctive action pursuant to Iowa Code section </w:t>
      </w:r>
      <w:hyperlink r:id="rId24">
        <w:r>
          <w:rPr>
            <w:rStyle w:val="Hyperlink"/>
            <w:rFonts w:ascii="Times New Roman" w:hAnsi="Times New Roman"/>
            <w:b w:val="false"/>
            <w:i w:val="false"/>
            <w:color w:val="000000"/>
            <w:sz w:val="22"/>
          </w:rPr>
          <w:t>147.83</w:t>
        </w:r>
      </w:hyperlink>
      <w:r>
        <w:rPr>
          <w:rFonts w:ascii="Times New Roman" w:hAnsi="Times New Roman"/>
          <w:b w:val="false"/>
          <w:i w:val="false"/>
          <w:color w:val="000000"/>
          <w:sz w:val="22"/>
        </w:rPr>
        <w:t xml:space="preserve">, criminal sanctions pursuant to Iowa Code section </w:t>
      </w:r>
      <w:hyperlink r:id="rId25">
        <w:r>
          <w:rPr>
            <w:rStyle w:val="Hyperlink"/>
            <w:rFonts w:ascii="Times New Roman" w:hAnsi="Times New Roman"/>
            <w:b w:val="false"/>
            <w:i w:val="false"/>
            <w:color w:val="000000"/>
            <w:sz w:val="22"/>
          </w:rPr>
          <w:t>147.86</w:t>
        </w:r>
      </w:hyperlink>
      <w:r>
        <w:rPr>
          <w:rFonts w:ascii="Times New Roman" w:hAnsi="Times New Roman"/>
          <w:b w:val="false"/>
          <w:i w:val="false"/>
          <w:color w:val="000000"/>
          <w:sz w:val="22"/>
        </w:rPr>
        <w:t>, and other available legal remedies.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7928C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481—861.8</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reactivation. </w:t>
      </w:r>
      <w:r>
        <w:rPr>
          <w:rFonts w:ascii="Times New Roman" w:hAnsi="Times New Roman"/>
          <w:b w:val="false"/>
          <w:i w:val="false"/>
          <w:color w:val="000000"/>
          <w:sz w:val="22"/>
        </w:rPr>
        <w:t>To apply for reactivation of an inactive license, a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861.8(1)</w:t>
      </w:r>
      <w:r>
        <w:rPr>
          <w:rFonts w:ascii="Times New Roman" w:hAnsi="Times New Roman"/>
          <w:b w:val="false"/>
          <w:i w:val="false"/>
          <w:color w:val="000000"/>
          <w:sz w:val="22"/>
        </w:rPr>
        <w:t> </w:t>
      </w:r>
      <w:r>
        <w:rPr>
          <w:rFonts w:ascii="Times New Roman" w:hAnsi="Times New Roman"/>
          <w:b w:val="false"/>
          <w:i w:val="false"/>
          <w:color w:val="000000"/>
          <w:sz w:val="22"/>
        </w:rPr>
        <w:t>Submit a reactivation application on a form provided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861.8(2)</w:t>
      </w:r>
      <w:r>
        <w:rPr>
          <w:rFonts w:ascii="Times New Roman" w:hAnsi="Times New Roman"/>
          <w:b w:val="false"/>
          <w:i w:val="false"/>
          <w:color w:val="000000"/>
          <w:sz w:val="22"/>
        </w:rPr>
        <w:t> </w:t>
      </w:r>
      <w:r>
        <w:rPr>
          <w:rFonts w:ascii="Times New Roman" w:hAnsi="Times New Roman"/>
          <w:b w:val="false"/>
          <w:i w:val="false"/>
          <w:color w:val="000000"/>
          <w:sz w:val="22"/>
        </w:rPr>
        <w:t xml:space="preserve">Pay the reactivation fee that is due as specified in </w:t>
      </w:r>
      <w:hyperlink r:id="rId26">
        <w:r>
          <w:rPr>
            <w:rStyle w:val="Hyperlink"/>
            <w:rFonts w:ascii="Times New Roman" w:hAnsi="Times New Roman"/>
            <w:b w:val="false"/>
            <w:i w:val="false"/>
            <w:color w:val="000000"/>
            <w:sz w:val="22"/>
          </w:rPr>
          <w:t>481—Chapter 507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861.8(3)</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current competence to practice as an athletic trainer by satisfying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five years or less, an applicant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of the license from the jurisdiction in which the applicant has most recently been practicing during the time period the Iowa license was inactive, sent directly from the jurisdiction to the board office. Web-based verification may be substituted for verification from a jurisdiction’s board office if the verification includes: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50 hours of continuing education within two years of the application for reactivation or verification of active practice, consisting of a minimum of 2,080 hours, in another state or jurisdiction during the two years preceding an application for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more than five years, an applicant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of the license from the jurisdiction in which the applicant has most recently been practicing during the time period the Iowa license was inactive, sent directly from the jurisdiction to the board office. Web-based verification may be substituted for verification from a jurisdiction’s board office if the verification includes: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40 hours of continuing education within two years of application for reactivation;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Verification of current BOC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861.8(4)</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sworn statement of previous practice from an employer or professional associate, detailing places and dates of employment and verifying that the applicant worked as an athletic trainer for at least 2,080 hours or taught as the equivalent of a full-time faculty member for at least one of the immediately preceding years during the last two-year time period.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7928C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481—861.9</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reinstatement. </w:t>
      </w:r>
      <w:r>
        <w:rPr>
          <w:rFonts w:ascii="Times New Roman" w:hAnsi="Times New Roman"/>
          <w:b w:val="false"/>
          <w:i w:val="false"/>
          <w:color w:val="000000"/>
          <w:sz w:val="22"/>
        </w:rPr>
        <w:t xml:space="preserve">A licensee whose license has been revoked, suspended, or voluntarily surrendered must apply for and receive reinstatement of the license in accordance with rule </w:t>
      </w:r>
      <w:hyperlink r:id="rId27">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 xml:space="preserve">(272C) and must apply for and be granted reactivation of the license in accordance with rule </w:t>
      </w:r>
      <w:hyperlink r:id="rId28">
        <w:r>
          <w:rPr>
            <w:rStyle w:val="Hyperlink"/>
            <w:rFonts w:ascii="Times New Roman" w:hAnsi="Times New Roman"/>
            <w:b w:val="false"/>
            <w:i w:val="false"/>
            <w:color w:val="000000"/>
            <w:sz w:val="22"/>
          </w:rPr>
          <w:t>481—861.15</w:t>
        </w:r>
      </w:hyperlink>
      <w:r>
        <w:rPr>
          <w:rFonts w:ascii="Times New Roman" w:hAnsi="Times New Roman"/>
          <w:b w:val="false"/>
          <w:i w:val="false"/>
          <w:color w:val="000000"/>
          <w:sz w:val="22"/>
        </w:rPr>
        <w:t>(17A,147,272C) prior to practicing as an athletic trainer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7928C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2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152D</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3/29/02, Notice 10/3/01—published 4/17/02, effective 5/22/02]</w:t>
      </w:r>
    </w:p>
    <w:p>
      <w:pPr>
        <w:spacing w:before="0" w:after="0"/>
        <w:ind w:left="120"/>
        <w:jc w:val="center"/>
      </w:pPr>
      <w:r>
        <w:rPr>
          <w:rFonts w:ascii="Times New Roman" w:hAnsi="Times New Roman"/>
          <w:b w:val="false"/>
          <w:i w:val="false"/>
          <w:color w:val="000000"/>
          <w:sz w:val="21"/>
        </w:rPr>
        <w:t>[Filed 9/26/02, Notice 7/10/02—published 10/16/02, effective 11/20/02]</w:t>
      </w:r>
    </w:p>
    <w:p>
      <w:pPr>
        <w:spacing w:before="0" w:after="0"/>
        <w:ind w:left="120"/>
        <w:jc w:val="center"/>
      </w:pPr>
      <w:r>
        <w:rPr>
          <w:rFonts w:ascii="Times New Roman" w:hAnsi="Times New Roman"/>
          <w:b w:val="false"/>
          <w:i w:val="false"/>
          <w:color w:val="000000"/>
          <w:sz w:val="21"/>
        </w:rPr>
        <w:t>[Filed 6/17/04, Notice 4/14/04—published 7/7/04, effective 8/11/04]</w:t>
      </w:r>
    </w:p>
    <w:p>
      <w:pPr>
        <w:spacing w:before="0" w:after="0"/>
        <w:ind w:left="120"/>
        <w:jc w:val="center"/>
      </w:pPr>
      <w:r>
        <w:rPr>
          <w:rFonts w:ascii="Times New Roman" w:hAnsi="Times New Roman"/>
          <w:b w:val="false"/>
          <w:i w:val="false"/>
          <w:color w:val="000000"/>
          <w:sz w:val="21"/>
        </w:rPr>
        <w:t>[Filed 1/12/05, Notice 11/24/04—published 2/2/05, effective 3/9/05]</w:t>
      </w:r>
    </w:p>
    <w:p>
      <w:pPr>
        <w:spacing w:before="0" w:after="0"/>
        <w:ind w:left="120"/>
        <w:jc w:val="center"/>
      </w:pPr>
      <w:r>
        <w:rPr>
          <w:rFonts w:ascii="Times New Roman" w:hAnsi="Times New Roman"/>
          <w:b w:val="false"/>
          <w:i w:val="false"/>
          <w:color w:val="000000"/>
          <w:sz w:val="21"/>
        </w:rPr>
        <w:t>[Filed 6/22/05, Notice 4/13/05—published 7/20/05, effective 8/24/05]</w:t>
      </w:r>
    </w:p>
    <w:p>
      <w:pPr>
        <w:spacing w:before="0" w:after="0"/>
        <w:ind w:left="120"/>
        <w:jc w:val="center"/>
      </w:pPr>
      <w:r>
        <w:rPr>
          <w:rFonts w:ascii="Times New Roman" w:hAnsi="Times New Roman"/>
          <w:b w:val="false"/>
          <w:i w:val="false"/>
          <w:color w:val="000000"/>
          <w:sz w:val="21"/>
        </w:rPr>
        <w:t>[Filed 12/20/05, Notice 10/12/05—published 1/18/06, effective 2/22/06]</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7/17/08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4/23/08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8/13/08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9/17/08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9967B</w:t>
      </w:r>
      <w:r>
        <w:rPr>
          <w:rFonts w:ascii="Times New Roman" w:hAnsi="Times New Roman"/>
          <w:b w:val="false"/>
          <w:i w:val="false"/>
          <w:color w:val="000000"/>
          <w:sz w:val="21"/>
        </w:rPr>
        <w:t xml:space="preserve"> (Notice ARC 9677B, IAB 8/24/11)</w:t>
      </w:r>
      <w:r>
        <w:rPr>
          <w:rFonts w:ascii="Times New Roman" w:hAnsi="Times New Roman"/>
          <w:b w:val="false"/>
          <w:i w:val="false"/>
          <w:color w:val="000000"/>
          <w:sz w:val="21"/>
        </w:rPr>
        <w:t>, IAB 1/11/12, effective 2/15/12]</w:t>
      </w:r>
    </w:p>
    <w:p>
      <w:pPr>
        <w:spacing w:before="0" w:after="0"/>
        <w:ind w:left="120"/>
        <w:jc w:val="center"/>
      </w:pPr>
      <w:r>
        <w:rPr>
          <w:rFonts w:ascii="Times New Roman" w:hAnsi="Times New Roman"/>
          <w:b w:val="false"/>
          <w:i w:val="false"/>
          <w:color w:val="000000"/>
          <w:sz w:val="21"/>
        </w:rPr>
        <w:t>[Filed ARC 3560C</w:t>
      </w:r>
      <w:r>
        <w:rPr>
          <w:rFonts w:ascii="Times New Roman" w:hAnsi="Times New Roman"/>
          <w:b w:val="false"/>
          <w:i w:val="false"/>
          <w:color w:val="000000"/>
          <w:sz w:val="21"/>
        </w:rPr>
        <w:t xml:space="preserve"> (Notice ARC 3363C, IAB 10/11/17)</w:t>
      </w:r>
      <w:r>
        <w:rPr>
          <w:rFonts w:ascii="Times New Roman" w:hAnsi="Times New Roman"/>
          <w:b w:val="false"/>
          <w:i w:val="false"/>
          <w:color w:val="000000"/>
          <w:sz w:val="21"/>
        </w:rPr>
        <w:t>, IAB 1/3/18, effective 2/7/18]</w:t>
      </w:r>
    </w:p>
    <w:p>
      <w:pPr>
        <w:spacing w:before="0" w:after="0"/>
        <w:ind w:left="120"/>
        <w:jc w:val="center"/>
      </w:pPr>
      <w:r>
        <w:rPr>
          <w:rFonts w:ascii="Times New Roman" w:hAnsi="Times New Roman"/>
          <w:b w:val="false"/>
          <w:i w:val="false"/>
          <w:color w:val="000000"/>
          <w:sz w:val="21"/>
        </w:rPr>
        <w:t>[Filed ARC 4982C</w:t>
      </w:r>
      <w:r>
        <w:rPr>
          <w:rFonts w:ascii="Times New Roman" w:hAnsi="Times New Roman"/>
          <w:b w:val="false"/>
          <w:i w:val="false"/>
          <w:color w:val="000000"/>
          <w:sz w:val="21"/>
        </w:rPr>
        <w:t xml:space="preserve"> (Notice ARC 4690C, IAB 10/9/19)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5753C</w:t>
      </w:r>
      <w:r>
        <w:rPr>
          <w:rFonts w:ascii="Times New Roman" w:hAnsi="Times New Roman"/>
          <w:b w:val="false"/>
          <w:i w:val="false"/>
          <w:color w:val="000000"/>
          <w:sz w:val="21"/>
        </w:rPr>
        <w:t xml:space="preserve"> (Notice ARC 5461C,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6984C</w:t>
      </w:r>
      <w:r>
        <w:rPr>
          <w:rFonts w:ascii="Times New Roman" w:hAnsi="Times New Roman"/>
          <w:b w:val="false"/>
          <w:i w:val="false"/>
          <w:color w:val="000000"/>
          <w:sz w:val="21"/>
        </w:rPr>
        <w:t xml:space="preserve"> (Notice ARC 6660C, IAB 11/16/22)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7928C</w:t>
      </w:r>
      <w:r>
        <w:rPr>
          <w:rFonts w:ascii="Times New Roman" w:hAnsi="Times New Roman"/>
          <w:b w:val="false"/>
          <w:i w:val="false"/>
          <w:color w:val="000000"/>
          <w:sz w:val="21"/>
        </w:rPr>
        <w:t xml:space="preserve"> (Notice ARC 7553C, IAB 1/24/24)</w:t>
      </w:r>
      <w:r>
        <w:rPr>
          <w:rFonts w:ascii="Times New Roman" w:hAnsi="Times New Roman"/>
          <w:b w:val="false"/>
          <w:i w:val="false"/>
          <w:color w:val="000000"/>
          <w:sz w:val="21"/>
        </w:rPr>
        <w:t>, IAB 5/1/24, effective 6/5/24]</w:t>
      </w:r>
    </w:p>
    <w:p>
      <w:pPr>
        <w:spacing w:before="0" w:after="0"/>
        <w:ind w:left="120"/>
        <w:jc w:val="center"/>
      </w:pPr>
      <w:r>
        <w:rPr>
          <w:rFonts w:ascii="Times New Roman" w:hAnsi="Times New Roman"/>
          <w:b w:val="false"/>
          <w:i w:val="false"/>
          <w:color w:val="000000"/>
          <w:sz w:val="21"/>
        </w:rPr>
        <w:t>[Editorial change: IAC Supplement 9/18/24]</w:t>
      </w:r>
    </w:p>
    <w:p>
      <w:pPr>
        <w:spacing w:before="0" w:after="0"/>
        <w:ind w:left="120"/>
        <w:jc w:val="center"/>
      </w:pPr>
      <w:r>
        <w:rPr>
          <w:rFonts w:ascii="Times New Roman" w:hAnsi="Times New Roman"/>
          <w:b w:val="false"/>
          <w:i w:val="false"/>
          <w:color w:val="000000"/>
          <w:sz w:val="21"/>
        </w:rPr>
        <w:t>[Editorial change: IAC Supplement 1/22/25]</w:t>
      </w:r>
    </w:p>
    <w:p>
      <w:pPr>
        <w:spacing w:before="0" w:after="0"/>
        <w:ind w:left="120"/>
        <w:jc w:val="center"/>
      </w:pPr>
      <w:r>
        <w:rPr>
          <w:rFonts w:ascii="Times New Roman" w:hAnsi="Times New Roman"/>
          <w:b w:val="false"/>
          <w:i w:val="false"/>
          <w:color w:val="000000"/>
          <w:sz w:val="21"/>
        </w:rPr>
        <w:t>[Editorial change: IAC Supplement 6/10/26]</w:t>
      </w:r>
    </w:p>
    <w:sectPr>
      <w:footerReference r:id="rId33"/>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2D.1.pdf" Type="http://schemas.openxmlformats.org/officeDocument/2006/relationships/hyperlink" Id="rId5"/>
    <Relationship TargetMode="External" Target="https://www.legis.iowa.gov/docs/ico/chapter/147.pdf" Type="http://schemas.openxmlformats.org/officeDocument/2006/relationships/hyperlink" Id="rId6"/>
    <Relationship TargetMode="External" Target="https://www.legis.iowa.gov/docs/iac/rule/481.861.6.pdf" Type="http://schemas.openxmlformats.org/officeDocument/2006/relationships/hyperlink" Id="rId7"/>
    <Relationship TargetMode="External" Target="https://www.legis.iowa.gov/docs/ico/chapter/323.69.pdf" Type="http://schemas.openxmlformats.org/officeDocument/2006/relationships/hyperlink" Id="rId8"/>
    <Relationship TargetMode="External" Target="https://www.legis.iowa.gov/docs/ico/chapter/235B.16.pdf" Type="http://schemas.openxmlformats.org/officeDocument/2006/relationships/hyperlink" Id="rId9"/>
    <Relationship TargetMode="External" Target="https://www.legis.iowa.gov/docs/iac/rule/481.861.8.pdf" Type="http://schemas.openxmlformats.org/officeDocument/2006/relationships/hyperlink" Id="rId10"/>
    <Relationship TargetMode="External" Target="https://www.legis.iowa.gov/docs/iac/rule/481.506.31.pdf" Type="http://schemas.openxmlformats.org/officeDocument/2006/relationships/hyperlink" Id="rId11"/>
    <Relationship TargetMode="External" Target="https://www.legis.iowa.gov/docs/iac/rule/481.507.1.pdf" Type="http://schemas.openxmlformats.org/officeDocument/2006/relationships/hyperlink" Id="rId12"/>
    <Relationship TargetMode="External" Target="https://www.legis.iowa.gov/docs/iac/rule/481.501.1.pdf" Type="http://schemas.openxmlformats.org/officeDocument/2006/relationships/hyperlink" Id="rId13"/>
    <Relationship TargetMode="External" Target="http://www.ierf.org" Type="http://schemas.openxmlformats.org/officeDocument/2006/relationships/hyperlink" Id="rId14"/>
    <Relationship TargetMode="External" Target="mailto:info@ierf.org" Type="http://schemas.openxmlformats.org/officeDocument/2006/relationships/hyperlink" Id="rId15"/>
    <Relationship TargetMode="External" Target="https://www.legis.iowa.gov/docs/iac/rule/481.501.2.pdf" Type="http://schemas.openxmlformats.org/officeDocument/2006/relationships/hyperlink" Id="rId16"/>
    <Relationship TargetMode="External" Target="http://www.bocatc.org" Type="http://schemas.openxmlformats.org/officeDocument/2006/relationships/hyperlink" Id="rId17"/>
    <Relationship TargetMode="External" Target="mailto:BOC@bocatc.org" Type="http://schemas.openxmlformats.org/officeDocument/2006/relationships/hyperlink" Id="rId18"/>
    <Relationship TargetMode="External" Target="https://www.legis.iowa.gov/docs/iac/rule/481.861.6.pdf" Type="http://schemas.openxmlformats.org/officeDocument/2006/relationships/hyperlink" Id="rId19"/>
    <Relationship TargetMode="External" Target="https://www.legis.iowa.gov/docs/iac/rule/481.862.2.pdf" Type="http://schemas.openxmlformats.org/officeDocument/2006/relationships/hyperlink" Id="rId20"/>
    <Relationship TargetMode="External" Target="https://www.legis.iowa.gov/docs/ico/chapter/232.69.pdf" Type="http://schemas.openxmlformats.org/officeDocument/2006/relationships/hyperlink" Id="rId21"/>
    <Relationship TargetMode="External" Target="https://www.legis.iowa.gov/docs/ico/chapter/235B.16.pdf" Type="http://schemas.openxmlformats.org/officeDocument/2006/relationships/hyperlink" Id="rId22"/>
    <Relationship TargetMode="External" Target="https://www.legis.iowa.gov/docs/iac/rule/481.507.1.pdf" Type="http://schemas.openxmlformats.org/officeDocument/2006/relationships/hyperlink" Id="rId23"/>
    <Relationship TargetMode="External" Target="https://www.legis.iowa.gov/docs/ico/chapter/147.83.pdf" Type="http://schemas.openxmlformats.org/officeDocument/2006/relationships/hyperlink" Id="rId24"/>
    <Relationship TargetMode="External" Target="https://www.legis.iowa.gov/docs/ico/chapter/147.86.pdf" Type="http://schemas.openxmlformats.org/officeDocument/2006/relationships/hyperlink" Id="rId25"/>
    <Relationship TargetMode="External" Target="https://www.legis.iowa.gov/docs/iac/chapter/481.507.pdf" Type="http://schemas.openxmlformats.org/officeDocument/2006/relationships/hyperlink" Id="rId26"/>
    <Relationship TargetMode="External" Target="https://www.legis.iowa.gov/docs/iac/rule/481.506.31.pdf" Type="http://schemas.openxmlformats.org/officeDocument/2006/relationships/hyperlink" Id="rId27"/>
    <Relationship TargetMode="External" Target="https://www.legis.iowa.gov/docs/iac/rule/481.861.15.pdf" Type="http://schemas.openxmlformats.org/officeDocument/2006/relationships/hyperlink" Id="rId28"/>
    <Relationship TargetMode="External" Target="https://www.legis.iowa.gov/docs/ico/chapter/17A.pdf" Type="http://schemas.openxmlformats.org/officeDocument/2006/relationships/hyperlink" Id="rId29"/>
    <Relationship TargetMode="External" Target="https://www.legis.iowa.gov/docs/ico/chapter/147.pdf" Type="http://schemas.openxmlformats.org/officeDocument/2006/relationships/hyperlink" Id="rId30"/>
    <Relationship TargetMode="External" Target="https://www.legis.iowa.gov/docs/ico/chapter/152D.pdf" Type="http://schemas.openxmlformats.org/officeDocument/2006/relationships/hyperlink" Id="rId31"/>
    <Relationship TargetMode="External" Target="https://www.legis.iowa.gov/docs/ico/chapter/272C.pdf" Type="http://schemas.openxmlformats.org/officeDocument/2006/relationships/hyperlink" Id="rId32"/>
    <Relationship Target="footer.xml" Type="http://schemas.openxmlformats.org/officeDocument/2006/relationships/footer" Id="rId3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