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845</w:t>
      </w:r>
    </w:p>
    <w:p>
      <w:pPr>
        <w:spacing w:before="0" w:after="0"/>
        <w:ind w:left="120"/>
        <w:jc w:val="center"/>
      </w:pPr>
      <w:r>
        <w:rPr>
          <w:rFonts w:ascii="Times New Roman" w:hAnsi="Times New Roman"/>
          <w:b w:val="false"/>
          <w:i w:val="false"/>
          <w:color w:val="000000"/>
          <w:sz w:val="21"/>
        </w:rPr>
        <w:t>DISCIPLINE FOR CHIROPRACTIC PHYSICIANS</w:t>
      </w:r>
    </w:p>
    <w:p>
      <w:pPr>
        <w:spacing w:before="0" w:after="0"/>
        <w:ind w:left="120"/>
        <w:jc w:val="center"/>
      </w:pPr>
      <w:r>
        <w:rPr>
          <w:rFonts w:ascii="Times New Roman" w:hAnsi="Times New Roman"/>
          <w:b w:val="false"/>
          <w:i w:val="false"/>
          <w:color w:val="000000"/>
          <w:sz w:val="20"/>
        </w:rPr>
        <w:t>[Prior to 7/24/02, see 645—Ch 44]</w:t>
      </w:r>
    </w:p>
    <w:p>
      <w:pPr>
        <w:spacing w:before="0" w:after="0"/>
        <w:ind w:left="120"/>
        <w:jc w:val="center"/>
      </w:pPr>
      <w:r>
        <w:rPr>
          <w:rFonts w:ascii="Times New Roman" w:hAnsi="Times New Roman"/>
          <w:b w:val="false"/>
          <w:i w:val="false"/>
          <w:color w:val="000000"/>
          <w:sz w:val="20"/>
        </w:rPr>
        <w:t>[Prior to 9/18/24, see Professional Licensure Division[645] Ch 45]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481—845.1</w:t>
      </w:r>
      <w:r>
        <w:rPr>
          <w:rFonts w:ascii="Times New Roman" w:hAnsi="Times New Roman"/>
          <w:b/>
          <w:i w:val="false"/>
          <w:color w:val="000000"/>
          <w:sz w:val="22"/>
        </w:rPr>
        <w:t xml:space="preserve">(151,272C)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845.1(1)</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making misleading, deceptive, untrue or fraudulent representations in the practice of the profession or engaging in unethical conduct or practice harmful or detrimental to the public. This includes representations utilizing the term “physical therapy” when informing the public of the services offered by the chiropractic physician unless a licensed physical therapist is performing such services. Nothing herein will be construed as prohibiting a chiropractic physician from making representations regarding physiotherapy that may be the same as, or similar to, physical therapy or physical medicine as long as treatment is appropriate as authorized in Iowa Code chapter </w:t>
      </w:r>
      <w:hyperlink r:id="rId7">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845.1(2)</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and marketing. Use of untruthful or improbable statements in advertisements includes but is not limited to an action by a licensee in making information or intention known to the public that is false, deceptive, misleading or promoted through fraud or misrepresentation, or representations that are likely to cause the average person to misunderstand. The term “advertisements” includes oral, written, electronic, and other types of communication disseminated by or at the direction of a licensee for the purpose of encouraging or soliciting the use of the licensee’s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Violate the provisions of direct health care agreements pursuant to Iowa Code section </w:t>
      </w:r>
      <w:hyperlink r:id="rId8">
        <w:r>
          <w:rPr>
            <w:rStyle w:val="Hyperlink"/>
            <w:rFonts w:ascii="Times New Roman" w:hAnsi="Times New Roman"/>
            <w:b w:val="false"/>
            <w:i w:val="false"/>
            <w:color w:val="000000"/>
            <w:sz w:val="22"/>
          </w:rPr>
          <w:t>135N.1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845.1(4)</w:t>
      </w:r>
      <w:r>
        <w:rPr>
          <w:rFonts w:ascii="Times New Roman" w:hAnsi="Times New Roman"/>
          <w:b w:val="false"/>
          <w:i w:val="false"/>
          <w:color w:val="000000"/>
          <w:sz w:val="22"/>
        </w:rPr>
        <w:t> </w:t>
      </w:r>
      <w:r>
        <w:rPr>
          <w:rFonts w:ascii="Times New Roman" w:hAnsi="Times New Roman"/>
          <w:b w:val="false"/>
          <w:i w:val="false"/>
          <w:color w:val="000000"/>
          <w:sz w:val="22"/>
        </w:rPr>
        <w:t>Failure to maintain a patient’s record(s) for a minimum of six years after the date of last examination or treatment. Records for minors shall be maintained for one year after the patient reaches the age of majority (18) or six years after the date of last examination or treatment, whichever is longer. Proper safeguards shall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9/27/01, Notice 6/13/01—published 10/17/01, effective 11/21/01]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8625B</w:t>
      </w:r>
      <w:r>
        <w:rPr>
          <w:rFonts w:ascii="Times New Roman" w:hAnsi="Times New Roman"/>
          <w:b w:val="false"/>
          <w:i w:val="false"/>
          <w:color w:val="000000"/>
          <w:sz w:val="21"/>
        </w:rPr>
        <w:t xml:space="preserve"> (Notice ARC 8278B,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9862B</w:t>
      </w:r>
      <w:r>
        <w:rPr>
          <w:rFonts w:ascii="Times New Roman" w:hAnsi="Times New Roman"/>
          <w:b w:val="false"/>
          <w:i w:val="false"/>
          <w:color w:val="000000"/>
          <w:sz w:val="21"/>
        </w:rPr>
        <w:t xml:space="preserve"> (Notice ARC 9551B, IAB 6/1/11)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7970C</w:t>
      </w:r>
      <w:r>
        <w:rPr>
          <w:rFonts w:ascii="Times New Roman" w:hAnsi="Times New Roman"/>
          <w:b w:val="false"/>
          <w:i w:val="false"/>
          <w:color w:val="000000"/>
          <w:sz w:val="21"/>
        </w:rPr>
        <w:t xml:space="preserve"> (Notice ARC 7467C,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51.pdf" Type="http://schemas.openxmlformats.org/officeDocument/2006/relationships/hyperlink" Id="rId7"/>
    <Relationship TargetMode="External" Target="https://www.legis.iowa.gov/docs/ico/chapter/135N.1.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1.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