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842</w:t>
      </w:r>
    </w:p>
    <w:p>
      <w:pPr>
        <w:spacing w:before="0" w:after="0"/>
        <w:ind w:left="120"/>
        <w:jc w:val="center"/>
      </w:pPr>
      <w:r>
        <w:rPr>
          <w:rFonts w:ascii="Times New Roman" w:hAnsi="Times New Roman"/>
          <w:b w:val="false"/>
          <w:i w:val="false"/>
          <w:color w:val="000000"/>
          <w:sz w:val="21"/>
        </w:rPr>
        <w:t>COLLEGES FOR CHIROPRACTIC PHYSICIANS</w:t>
      </w:r>
    </w:p>
    <w:p>
      <w:pPr>
        <w:spacing w:before="0" w:after="0"/>
        <w:ind w:left="120"/>
        <w:jc w:val="center"/>
      </w:pPr>
      <w:r>
        <w:rPr>
          <w:rFonts w:ascii="Times New Roman" w:hAnsi="Times New Roman"/>
          <w:b w:val="false"/>
          <w:i w:val="false"/>
          <w:color w:val="000000"/>
          <w:sz w:val="20"/>
        </w:rPr>
        <w:t>[Prior to 7/24/02, see 645—40.9(151)]</w:t>
      </w:r>
    </w:p>
    <w:p>
      <w:pPr>
        <w:spacing w:before="0" w:after="0"/>
        <w:ind w:left="120"/>
        <w:jc w:val="center"/>
      </w:pPr>
      <w:r>
        <w:rPr>
          <w:rFonts w:ascii="Times New Roman" w:hAnsi="Times New Roman"/>
          <w:b w:val="false"/>
          <w:i w:val="false"/>
          <w:color w:val="000000"/>
          <w:sz w:val="20"/>
        </w:rPr>
        <w:t>[Prior to 9/18/24, see Professional Licensure Division[645] Ch 42]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481—842.1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“Chiropractic intern”</w:t>
      </w:r>
      <w:r>
        <w:rPr>
          <w:rFonts w:ascii="Times New Roman" w:hAnsi="Times New Roman"/>
          <w:b w:val="false"/>
          <w:i w:val="false"/>
          <w:color w:val="000000"/>
          <w:sz w:val="22"/>
        </w:rPr>
        <w:t> </w:t>
      </w:r>
      <w:r>
        <w:rPr>
          <w:rFonts w:ascii="Times New Roman" w:hAnsi="Times New Roman"/>
          <w:b w:val="false"/>
          <w:i w:val="false"/>
          <w:color w:val="000000"/>
          <w:sz w:val="22"/>
        </w:rPr>
        <w:t>means a chiropractic student of an approved college of chiropractic in the student’s last academic quarter, semester, or trimester of study, who is eligible for graduation from the college of chiropractic and is eligible to complete a preceptorship program, as authorized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“Chiropractic preceptor”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chiropractic physician licensed and practicing in Iowa pursuant to Iowa Code chapter </w:t>
      </w:r>
      <w:hyperlink r:id="rId5">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who accepts a chiropractic intern or resident into the practice for the purpose of providing the chiropractic student with a clinical experience of the practice of chiropractic, and who meets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“Chiropractic resident”</w:t>
      </w:r>
      <w:r>
        <w:rPr>
          <w:rFonts w:ascii="Times New Roman" w:hAnsi="Times New Roman"/>
          <w:b w:val="false"/>
          <w:i w:val="false"/>
          <w:color w:val="000000"/>
          <w:sz w:val="22"/>
        </w:rPr>
        <w:t> </w:t>
      </w:r>
      <w:r>
        <w:rPr>
          <w:rFonts w:ascii="Times New Roman" w:hAnsi="Times New Roman"/>
          <w:b w:val="false"/>
          <w:i w:val="false"/>
          <w:color w:val="000000"/>
          <w:sz w:val="22"/>
        </w:rPr>
        <w:t>means a graduate chiropractic physician who has received a doctor of chiropractic degree from a college of chiropractic approved by the board, and who is not licensed in any state, but who is practicing under a chiropractic preceptorship authorized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“Chiropractic student”</w:t>
      </w:r>
      <w:r>
        <w:rPr>
          <w:rFonts w:ascii="Times New Roman" w:hAnsi="Times New Roman"/>
          <w:b w:val="false"/>
          <w:i w:val="false"/>
          <w:color w:val="000000"/>
          <w:sz w:val="22"/>
        </w:rPr>
        <w:t> </w:t>
      </w:r>
      <w:r>
        <w:rPr>
          <w:rFonts w:ascii="Times New Roman" w:hAnsi="Times New Roman"/>
          <w:b w:val="false"/>
          <w:i w:val="false"/>
          <w:color w:val="000000"/>
          <w:sz w:val="22"/>
        </w:rPr>
        <w:t>means a student of an approved college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“Council on Chiropractic Education”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“CCE”</w:t>
      </w:r>
      <w:r>
        <w:rPr>
          <w:rFonts w:ascii="Times New Roman" w:hAnsi="Times New Roman"/>
          <w:b w:val="false"/>
          <w:i w:val="false"/>
          <w:color w:val="000000"/>
          <w:sz w:val="22"/>
        </w:rPr>
        <w:t> </w:t>
      </w:r>
      <w:r>
        <w:rPr>
          <w:rFonts w:ascii="Times New Roman" w:hAnsi="Times New Roman"/>
          <w:b w:val="false"/>
          <w:i w:val="false"/>
          <w:color w:val="000000"/>
          <w:sz w:val="22"/>
        </w:rPr>
        <w:t>means the organization that establishes the Educational Standards of Chiropractic Colleges and Bylaws. A copy of the standards may be requested from CCE.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“Preceptorship practice”</w:t>
      </w:r>
      <w:r>
        <w:rPr>
          <w:rFonts w:ascii="Times New Roman" w:hAnsi="Times New Roman"/>
          <w:b w:val="false"/>
          <w:i w:val="false"/>
          <w:color w:val="000000"/>
          <w:sz w:val="22"/>
        </w:rPr>
        <w:t> </w:t>
      </w:r>
      <w:r>
        <w:rPr>
          <w:rFonts w:ascii="Times New Roman" w:hAnsi="Times New Roman"/>
          <w:b w:val="false"/>
          <w:i w:val="false"/>
          <w:color w:val="000000"/>
          <w:sz w:val="22"/>
        </w:rPr>
        <w:t>means the chiropractic practice of a single chiropractic physician or group of chiropractic physicians in a particular business or clinic, into which a licensed practicing chiropractic physician has accepted a chiropractic intern or chiropractic resident for the limited purpose of providing the intern or resident with a clinical experience in the practice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“60-minute hour”</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of resident attendance with no more than 10 minutes for note taking and breaks.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481—842.2</w:t>
      </w:r>
      <w:r>
        <w:rPr>
          <w:rFonts w:ascii="Times New Roman" w:hAnsi="Times New Roman"/>
          <w:b/>
          <w:i w:val="false"/>
          <w:color w:val="000000"/>
          <w:sz w:val="22"/>
        </w:rPr>
        <w:t xml:space="preserve">(151) </w:t>
      </w:r>
      <w:r>
        <w:rPr>
          <w:rFonts w:ascii="Times New Roman" w:hAnsi="Times New Roman"/>
          <w:b/>
          <w:i w:val="false"/>
          <w:color w:val="000000"/>
          <w:sz w:val="22"/>
        </w:rPr>
        <w:t xml:space="preserve">Board-approved chiropractic colleges. </w:t>
      </w:r>
      <w:r>
        <w:rPr>
          <w:rFonts w:ascii="Times New Roman" w:hAnsi="Times New Roman"/>
          <w:b w:val="false"/>
          <w:i w:val="false"/>
          <w:color w:val="000000"/>
          <w:sz w:val="22"/>
        </w:rPr>
        <w:t>Approval of a chiropractic college may be granted if the program submits proof to the board of chiropractic that the chiropractic program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842.2(1)</w:t>
      </w:r>
      <w:r>
        <w:rPr>
          <w:rFonts w:ascii="Times New Roman" w:hAnsi="Times New Roman"/>
          <w:b w:val="false"/>
          <w:i w:val="false"/>
          <w:color w:val="000000"/>
          <w:sz w:val="22"/>
        </w:rPr>
        <w:t> </w:t>
      </w:r>
      <w:r>
        <w:rPr>
          <w:rFonts w:ascii="Times New Roman" w:hAnsi="Times New Roman"/>
          <w:b w:val="false"/>
          <w:i w:val="false"/>
          <w:color w:val="000000"/>
          <w:sz w:val="22"/>
        </w:rPr>
        <w:t>The chiropractic college is fully accredited by the Commission on Accreditation of the Council on Chiropractic Education (CACCE), as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842.2(2)</w:t>
      </w:r>
      <w:r>
        <w:rPr>
          <w:rFonts w:ascii="Times New Roman" w:hAnsi="Times New Roman"/>
          <w:b w:val="false"/>
          <w:i w:val="false"/>
          <w:color w:val="000000"/>
          <w:sz w:val="22"/>
        </w:rPr>
        <w:t> </w:t>
      </w:r>
      <w:r>
        <w:rPr>
          <w:rFonts w:ascii="Times New Roman" w:hAnsi="Times New Roman"/>
          <w:b w:val="false"/>
          <w:i w:val="false"/>
          <w:color w:val="000000"/>
          <w:sz w:val="22"/>
        </w:rPr>
        <w:t>The core curriculum meets the requirements of the CACCE standards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Covers a period of four academic years totaling not less than 4,000 60-minute hours in actual resident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Comprises a supervised course of study, including clinical practical instruction, in all of the subjects specified in Iowa Code section </w:t>
      </w:r>
      <w:hyperlink r:id="rId6">
        <w:r>
          <w:rPr>
            <w:rStyle w:val="Hyperlink"/>
            <w:rFonts w:ascii="Times New Roman" w:hAnsi="Times New Roman"/>
            <w:b w:val="false"/>
            <w:i w:val="false"/>
            <w:color w:val="000000"/>
            <w:sz w:val="22"/>
          </w:rPr>
          <w:t>151.1(3)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Includes a minimum of 120 hours of physiotherapy coursework with a clinical practical component on the procedures covered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842.2(3)</w:t>
      </w:r>
      <w:r>
        <w:rPr>
          <w:rFonts w:ascii="Times New Roman" w:hAnsi="Times New Roman"/>
          <w:b w:val="false"/>
          <w:i w:val="false"/>
          <w:color w:val="000000"/>
          <w:sz w:val="22"/>
        </w:rPr>
        <w:t> </w:t>
      </w:r>
      <w:r>
        <w:rPr>
          <w:rFonts w:ascii="Times New Roman" w:hAnsi="Times New Roman"/>
          <w:b w:val="false"/>
          <w:i w:val="false"/>
          <w:color w:val="000000"/>
          <w:sz w:val="22"/>
        </w:rPr>
        <w:t>The chiropractic college publishes in a regularly issued catalog the requirements for graduation and degrees that are required by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842.2(4)</w:t>
      </w:r>
      <w:r>
        <w:rPr>
          <w:rFonts w:ascii="Times New Roman" w:hAnsi="Times New Roman"/>
          <w:b w:val="false"/>
          <w:i w:val="false"/>
          <w:color w:val="000000"/>
          <w:sz w:val="22"/>
        </w:rPr>
        <w:t> </w:t>
      </w:r>
      <w:r>
        <w:rPr>
          <w:rFonts w:ascii="Times New Roman" w:hAnsi="Times New Roman"/>
          <w:b w:val="false"/>
          <w:i w:val="false"/>
          <w:color w:val="000000"/>
          <w:sz w:val="22"/>
        </w:rPr>
        <w:t>Transcripts include entries for all completed coursework.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481—842.3</w:t>
      </w:r>
      <w:r>
        <w:rPr>
          <w:rFonts w:ascii="Times New Roman" w:hAnsi="Times New Roman"/>
          <w:b/>
          <w:i w:val="false"/>
          <w:color w:val="000000"/>
          <w:sz w:val="22"/>
        </w:rPr>
        <w:t xml:space="preserve">(151) </w:t>
      </w:r>
      <w:r>
        <w:rPr>
          <w:rFonts w:ascii="Times New Roman" w:hAnsi="Times New Roman"/>
          <w:b/>
          <w:i w:val="false"/>
          <w:color w:val="000000"/>
          <w:sz w:val="22"/>
        </w:rPr>
        <w:t xml:space="preserve">Practice by chiropractic interns and chiropractic residents. </w:t>
      </w:r>
      <w:r>
        <w:rPr>
          <w:rFonts w:ascii="Times New Roman" w:hAnsi="Times New Roman"/>
          <w:b w:val="false"/>
          <w:i w:val="false"/>
          <w:color w:val="000000"/>
          <w:sz w:val="22"/>
        </w:rPr>
        <w:t>A student enrolled in a board-approved chiropractic preceptorship program in the state of Iowa may treat patients without obtaining an Iowa license, provided the requirements of these rules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481—842.4</w:t>
      </w:r>
      <w:r>
        <w:rPr>
          <w:rFonts w:ascii="Times New Roman" w:hAnsi="Times New Roman"/>
          <w:b/>
          <w:i w:val="false"/>
          <w:color w:val="000000"/>
          <w:sz w:val="22"/>
        </w:rPr>
        <w:t xml:space="preserve">(151) </w:t>
      </w:r>
      <w:r>
        <w:rPr>
          <w:rFonts w:ascii="Times New Roman" w:hAnsi="Times New Roman"/>
          <w:b/>
          <w:i w:val="false"/>
          <w:color w:val="000000"/>
          <w:sz w:val="22"/>
        </w:rPr>
        <w:t xml:space="preserve">Approved chiropractic preceptorship program. </w:t>
      </w:r>
      <w:r>
        <w:rPr>
          <w:rFonts w:ascii="Times New Roman" w:hAnsi="Times New Roman"/>
          <w:b w:val="false"/>
          <w:i w:val="false"/>
          <w:color w:val="000000"/>
          <w:sz w:val="22"/>
        </w:rPr>
        <w:t>The board will approve a chiropractic college’s preceptorship program if the program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842.4(1)</w:t>
      </w:r>
      <w:r>
        <w:rPr>
          <w:rFonts w:ascii="Times New Roman" w:hAnsi="Times New Roman"/>
          <w:b w:val="false"/>
          <w:i w:val="false"/>
          <w:color w:val="000000"/>
          <w:sz w:val="22"/>
        </w:rPr>
        <w:t> </w:t>
      </w:r>
      <w:r>
        <w:rPr>
          <w:rFonts w:ascii="Times New Roman" w:hAnsi="Times New Roman"/>
          <w:b w:val="false"/>
          <w:i w:val="false"/>
          <w:color w:val="000000"/>
          <w:sz w:val="22"/>
        </w:rPr>
        <w:t>The preceptorship program meets current CCE standards for consumer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842.4(2)</w:t>
      </w:r>
      <w:r>
        <w:rPr>
          <w:rFonts w:ascii="Times New Roman" w:hAnsi="Times New Roman"/>
          <w:b w:val="false"/>
          <w:i w:val="false"/>
          <w:color w:val="000000"/>
          <w:sz w:val="22"/>
        </w:rPr>
        <w:t> </w:t>
      </w:r>
      <w:r>
        <w:rPr>
          <w:rFonts w:ascii="Times New Roman" w:hAnsi="Times New Roman"/>
          <w:b w:val="false"/>
          <w:i w:val="false"/>
          <w:color w:val="000000"/>
          <w:sz w:val="22"/>
        </w:rPr>
        <w:t>The preceptorship program is an established component of the curriculum offered by a board-approved chiropractic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842.4(3)</w:t>
      </w:r>
      <w:r>
        <w:rPr>
          <w:rFonts w:ascii="Times New Roman" w:hAnsi="Times New Roman"/>
          <w:b w:val="false"/>
          <w:i w:val="false"/>
          <w:color w:val="000000"/>
          <w:sz w:val="22"/>
        </w:rPr>
        <w:t> </w:t>
      </w:r>
      <w:r>
        <w:rPr>
          <w:rFonts w:ascii="Times New Roman" w:hAnsi="Times New Roman"/>
          <w:b w:val="false"/>
          <w:i w:val="false"/>
          <w:color w:val="000000"/>
          <w:sz w:val="22"/>
        </w:rPr>
        <w:t>Chiropractic interns who participate in the preceptorship program have met all requirements for graduation from the chiropractic college except for completion of the preceptorship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842.4(4)</w:t>
      </w:r>
      <w:r>
        <w:rPr>
          <w:rFonts w:ascii="Times New Roman" w:hAnsi="Times New Roman"/>
          <w:b w:val="false"/>
          <w:i w:val="false"/>
          <w:color w:val="000000"/>
          <w:sz w:val="22"/>
        </w:rPr>
        <w:t> </w:t>
      </w:r>
      <w:r>
        <w:rPr>
          <w:rFonts w:ascii="Times New Roman" w:hAnsi="Times New Roman"/>
          <w:b w:val="false"/>
          <w:i w:val="false"/>
          <w:color w:val="000000"/>
          <w:sz w:val="22"/>
        </w:rPr>
        <w:t>Chiropractic residents who participate in the postgraduate preceptorship program have graduated from a chiropractic college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842.4(5)</w:t>
      </w:r>
      <w:r>
        <w:rPr>
          <w:rFonts w:ascii="Times New Roman" w:hAnsi="Times New Roman"/>
          <w:b w:val="false"/>
          <w:i w:val="false"/>
          <w:color w:val="000000"/>
          <w:sz w:val="22"/>
        </w:rPr>
        <w:t> </w:t>
      </w:r>
      <w:r>
        <w:rPr>
          <w:rFonts w:ascii="Times New Roman" w:hAnsi="Times New Roman"/>
          <w:b w:val="false"/>
          <w:i w:val="false"/>
          <w:color w:val="000000"/>
          <w:sz w:val="22"/>
        </w:rPr>
        <w:t xml:space="preserve">All chiropractic physicians who serve as preceptors will be approved under </w:t>
      </w:r>
      <w:hyperlink r:id="rId7">
        <w:r>
          <w:rPr>
            <w:rStyle w:val="Hyperlink"/>
            <w:rFonts w:ascii="Times New Roman" w:hAnsi="Times New Roman"/>
            <w:b w:val="false"/>
            <w:i w:val="false"/>
            <w:color w:val="000000"/>
            <w:sz w:val="22"/>
          </w:rPr>
          <w:t>rule </w:t>
        </w:r>
      </w:hyperlink>
      <w:hyperlink r:id="rId8">
        <w:r>
          <w:rPr>
            <w:rStyle w:val="Hyperlink"/>
            <w:rFonts w:ascii="Times New Roman" w:hAnsi="Times New Roman"/>
            <w:b w:val="false"/>
            <w:i w:val="false"/>
            <w:color w:val="000000"/>
            <w:sz w:val="22"/>
          </w:rPr>
          <w:t>481—842.5</w:t>
        </w:r>
      </w:hyperlink>
      <w:r>
        <w:rPr>
          <w:rFonts w:ascii="Times New Roman" w:hAnsi="Times New Roman"/>
          <w:b w:val="false"/>
          <w:i w:val="false"/>
          <w:color w:val="000000"/>
          <w:sz w:val="22"/>
        </w:rPr>
        <w:t>(151).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842.4(6)</w:t>
      </w:r>
      <w:r>
        <w:rPr>
          <w:rFonts w:ascii="Times New Roman" w:hAnsi="Times New Roman"/>
          <w:b w:val="false"/>
          <w:i w:val="false"/>
          <w:color w:val="000000"/>
          <w:sz w:val="22"/>
        </w:rPr>
        <w:t> </w:t>
      </w:r>
      <w:r>
        <w:rPr>
          <w:rFonts w:ascii="Times New Roman" w:hAnsi="Times New Roman"/>
          <w:b w:val="false"/>
          <w:i w:val="false"/>
          <w:color w:val="000000"/>
          <w:sz w:val="22"/>
        </w:rPr>
        <w:t>The chiropractic college retains ultimate responsibility for student learning and evaluations during the preceptorship.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842.4(7)</w:t>
      </w:r>
      <w:r>
        <w:rPr>
          <w:rFonts w:ascii="Times New Roman" w:hAnsi="Times New Roman"/>
          <w:b w:val="false"/>
          <w:i w:val="false"/>
          <w:color w:val="000000"/>
          <w:sz w:val="22"/>
        </w:rPr>
        <w:t> </w:t>
      </w:r>
      <w:r>
        <w:rPr>
          <w:rFonts w:ascii="Times New Roman" w:hAnsi="Times New Roman"/>
          <w:b w:val="false"/>
          <w:i w:val="false"/>
          <w:color w:val="000000"/>
          <w:sz w:val="22"/>
        </w:rPr>
        <w:t>The chiropractic preceptor will supervise no more than one chiropractic intern or one chiropractic resident for the duration of a given preceptorship period.</w:t>
      </w:r>
    </w:p>
    <w:p>
      <w:pPr>
        <w:spacing w:before="0" w:after="0"/>
        <w:ind w:left="120"/>
        <w:jc w:val="both"/>
      </w:pPr>
      <w:r>
        <w:rPr>
          <w:rFonts w:ascii="Times New Roman" w:hAnsi="Times New Roman"/>
          <w:b w:val="false"/>
          <w:i w:val="false"/>
          <w:color w:val="000000"/>
          <w:sz w:val="22"/>
        </w:rPr>
        <w:t>If a preceptor agreement must be canceled for any reason, it is the responsibility of the chiropractic college to assign the intern or resident to another preceptor and notify the Iowa board of chiropractic of the preceptorship cancellation. The notice shall include reasons for cancellation of the preceptorship.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481—842.5</w:t>
      </w:r>
      <w:r>
        <w:rPr>
          <w:rFonts w:ascii="Times New Roman" w:hAnsi="Times New Roman"/>
          <w:b/>
          <w:i w:val="false"/>
          <w:color w:val="000000"/>
          <w:sz w:val="22"/>
        </w:rPr>
        <w:t xml:space="preserve">(151) </w:t>
      </w:r>
      <w:r>
        <w:rPr>
          <w:rFonts w:ascii="Times New Roman" w:hAnsi="Times New Roman"/>
          <w:b/>
          <w:i w:val="false"/>
          <w:color w:val="000000"/>
          <w:sz w:val="22"/>
        </w:rPr>
        <w:t xml:space="preserve">Approved chiropractic physician preceptors.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842.5(1)</w:t>
      </w:r>
      <w:r>
        <w:rPr>
          <w:rFonts w:ascii="Times New Roman" w:hAnsi="Times New Roman"/>
          <w:b w:val="false"/>
          <w:i w:val="false"/>
          <w:color w:val="000000"/>
          <w:sz w:val="22"/>
        </w:rPr>
        <w:t> </w:t>
      </w:r>
      <w:r>
        <w:rPr>
          <w:rFonts w:ascii="Times New Roman" w:hAnsi="Times New Roman"/>
          <w:b w:val="false"/>
          <w:i w:val="false"/>
          <w:color w:val="000000"/>
          <w:sz w:val="22"/>
        </w:rPr>
        <w:t>A chiropractic physician will be approved to be a chiropractic physician preceptor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holds a current Iowa chiropractic license and has continuously held licensure in the United States for the previous five years prior to preceptorship;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is currently fully credentialed by the sponsoring chiropractic college and approved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chiropractic physician has not had any formal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842.5(2)</w:t>
      </w:r>
      <w:r>
        <w:rPr>
          <w:rFonts w:ascii="Times New Roman" w:hAnsi="Times New Roman"/>
          <w:b w:val="false"/>
          <w:i w:val="false"/>
          <w:color w:val="000000"/>
          <w:sz w:val="22"/>
        </w:rPr>
        <w:t> </w:t>
      </w:r>
      <w:r>
        <w:rPr>
          <w:rFonts w:ascii="Times New Roman" w:hAnsi="Times New Roman"/>
          <w:b w:val="false"/>
          <w:i w:val="false"/>
          <w:color w:val="000000"/>
          <w:sz w:val="22"/>
        </w:rPr>
        <w:t>The role of the chiropractic physician preceptor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Responsibility for supervising the practice of the chiropractic intern or chiropractic resident who is accepted into a preceptorship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Identifying the chiropractic intern or chiropractic resident to the patients of the preceptorship practice to ensure that no patient will misconstrue the status of the intern or resident. The intern or resident will wear a badge identifying that person as an intern or resident at all times in the presence of preceptorship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Exercising direct, on-premises supervision of the chiropractic intern or chiropractic resident at all times that the intern or resident is engaged in any facet of patient care in the chiropractic physician preceptor’s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Directing the chiropractic intern or chiropractic resident only in treatment care that is within the educational background and experience of the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Notifying the preceptorship program within 30 days of either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preceptor has any formal disciplinary action taken by any licensing entity;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preceptor is a party to any malpractice settlement or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481—842.6</w:t>
      </w:r>
      <w:r>
        <w:rPr>
          <w:rFonts w:ascii="Times New Roman" w:hAnsi="Times New Roman"/>
          <w:b/>
          <w:i w:val="false"/>
          <w:color w:val="000000"/>
          <w:sz w:val="22"/>
        </w:rPr>
        <w:t xml:space="preserve">(151) </w:t>
      </w:r>
      <w:r>
        <w:rPr>
          <w:rFonts w:ascii="Times New Roman" w:hAnsi="Times New Roman"/>
          <w:b/>
          <w:i w:val="false"/>
          <w:color w:val="000000"/>
          <w:sz w:val="22"/>
        </w:rPr>
        <w:t xml:space="preserve">Termination of preceptorship. </w:t>
      </w:r>
      <w:r>
        <w:rPr>
          <w:rFonts w:ascii="Times New Roman" w:hAnsi="Times New Roman"/>
          <w:b w:val="false"/>
          <w:i w:val="false"/>
          <w:color w:val="000000"/>
          <w:sz w:val="22"/>
        </w:rPr>
        <w:t>A preceptorship may terminate upon the occurrence of one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842.6(1)</w:t>
      </w:r>
      <w:r>
        <w:rPr>
          <w:rFonts w:ascii="Times New Roman" w:hAnsi="Times New Roman"/>
          <w:b w:val="false"/>
          <w:i w:val="false"/>
          <w:color w:val="000000"/>
          <w:sz w:val="22"/>
        </w:rPr>
        <w:t> </w:t>
      </w:r>
      <w:r>
        <w:rPr>
          <w:rFonts w:ascii="Times New Roman" w:hAnsi="Times New Roman"/>
          <w:b w:val="false"/>
          <w:i w:val="false"/>
          <w:color w:val="000000"/>
          <w:sz w:val="22"/>
        </w:rPr>
        <w:t>Interns. The intern graduates from a board-approved college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842.6(2)</w:t>
      </w:r>
      <w:r>
        <w:rPr>
          <w:rFonts w:ascii="Times New Roman" w:hAnsi="Times New Roman"/>
          <w:b w:val="false"/>
          <w:i w:val="false"/>
          <w:color w:val="000000"/>
          <w:sz w:val="22"/>
        </w:rPr>
        <w:t> </w:t>
      </w:r>
      <w:r>
        <w:rPr>
          <w:rFonts w:ascii="Times New Roman" w:hAnsi="Times New Roman"/>
          <w:b w:val="false"/>
          <w:i w:val="false"/>
          <w:color w:val="000000"/>
          <w:sz w:val="22"/>
        </w:rPr>
        <w:t>Residents. Twelve months have passed since the resident graduated from a board-approved college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842.6(3)</w:t>
      </w:r>
      <w:r>
        <w:rPr>
          <w:rFonts w:ascii="Times New Roman" w:hAnsi="Times New Roman"/>
          <w:b w:val="false"/>
          <w:i w:val="false"/>
          <w:color w:val="000000"/>
          <w:sz w:val="22"/>
        </w:rPr>
        <w:t> </w:t>
      </w:r>
      <w:r>
        <w:rPr>
          <w:rFonts w:ascii="Times New Roman" w:hAnsi="Times New Roman"/>
          <w:b w:val="false"/>
          <w:i w:val="false"/>
          <w:color w:val="000000"/>
          <w:sz w:val="22"/>
        </w:rPr>
        <w:t>Formal disciplinary action is taken against the preceptor or the preceptor is a party to a final malpractice judgment or settlement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11/6/03, Notices 4/16/03, 7/23/03—published 11/26/03, effective 12/31/03]</w:t>
      </w:r>
    </w:p>
    <w:p>
      <w:pPr>
        <w:spacing w:before="0" w:after="0"/>
        <w:ind w:left="120"/>
        <w:jc w:val="center"/>
      </w:pPr>
      <w:r>
        <w:rPr>
          <w:rFonts w:ascii="Times New Roman" w:hAnsi="Times New Roman"/>
          <w:b w:val="false"/>
          <w:i w:val="false"/>
          <w:color w:val="000000"/>
          <w:sz w:val="21"/>
        </w:rPr>
        <w:t>[Filed 10/13/04, Notice 9/1/04—published 11/10/04, effective 12/15/04]</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[Filed ARC 3962C</w:t>
      </w:r>
      <w:r>
        <w:rPr>
          <w:rFonts w:ascii="Times New Roman" w:hAnsi="Times New Roman"/>
          <w:b w:val="false"/>
          <w:i w:val="false"/>
          <w:color w:val="000000"/>
          <w:sz w:val="21"/>
        </w:rPr>
        <w:t xml:space="preserve"> (Notice ARC 3774C, IAB 5/9/18)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6187C</w:t>
      </w:r>
      <w:r>
        <w:rPr>
          <w:rFonts w:ascii="Times New Roman" w:hAnsi="Times New Roman"/>
          <w:b w:val="false"/>
          <w:i w:val="false"/>
          <w:color w:val="000000"/>
          <w:sz w:val="21"/>
        </w:rPr>
        <w:t xml:space="preserve"> (Notice ARC 6011C,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7967C</w:t>
      </w:r>
      <w:r>
        <w:rPr>
          <w:rFonts w:ascii="Times New Roman" w:hAnsi="Times New Roman"/>
          <w:b w:val="false"/>
          <w:i w:val="false"/>
          <w:color w:val="000000"/>
          <w:sz w:val="21"/>
        </w:rPr>
        <w:t xml:space="preserve"> (Notice ARC 7464C,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pdf" Type="http://schemas.openxmlformats.org/officeDocument/2006/relationships/hyperlink" Id="rId5"/>
    <Relationship TargetMode="External" Target="https://www.legis.iowa.gov/docs/ico/chapter/151.1.pdf" Type="http://schemas.openxmlformats.org/officeDocument/2006/relationships/hyperlink" Id="rId6"/>
    <Relationship TargetMode="External" Target="https://www.legis.iowa.gov/docs/iac/rule/645.42.5.pdf" Type="http://schemas.openxmlformats.org/officeDocument/2006/relationships/hyperlink" Id="rId7"/>
    <Relationship TargetMode="External" Target="https://www.legis.iowa.gov/docs/iac/rule/481.842.5.pdf" Type="http://schemas.openxmlformats.org/officeDocument/2006/relationships/hyperlink" Id="rId8"/>
    <Relationship TargetMode="External" Target="https://www.legis.iowa.gov/docs/ico/chapter/15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