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CHIROPRACTIC</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841</w:t>
      </w:r>
    </w:p>
    <w:p>
      <w:pPr>
        <w:spacing w:before="0" w:after="0"/>
        <w:ind w:left="120"/>
        <w:jc w:val="center"/>
      </w:pPr>
      <w:r>
        <w:rPr>
          <w:rFonts w:ascii="Times New Roman" w:hAnsi="Times New Roman"/>
          <w:b w:val="false"/>
          <w:i w:val="false"/>
          <w:color w:val="000000"/>
          <w:sz w:val="21"/>
        </w:rPr>
        <w:t>LICENSURE OF CHIROPRACTIC PHYSICIANS</w:t>
      </w:r>
    </w:p>
    <w:p>
      <w:pPr>
        <w:spacing w:before="0" w:after="0"/>
        <w:ind w:left="120"/>
        <w:jc w:val="center"/>
      </w:pPr>
      <w:r>
        <w:rPr>
          <w:rFonts w:ascii="Times New Roman" w:hAnsi="Times New Roman"/>
          <w:b w:val="false"/>
          <w:i w:val="false"/>
          <w:color w:val="000000"/>
          <w:sz w:val="20"/>
        </w:rPr>
        <w:t>[Prior to 7/24/02, see 645—40.10(151) to 645—40.13(151), 645—40.15(151) and 645—40.16(151)]</w:t>
      </w:r>
    </w:p>
    <w:p>
      <w:pPr>
        <w:spacing w:before="0" w:after="0"/>
        <w:ind w:left="120"/>
        <w:jc w:val="center"/>
      </w:pPr>
      <w:r>
        <w:rPr>
          <w:rFonts w:ascii="Times New Roman" w:hAnsi="Times New Roman"/>
          <w:b w:val="false"/>
          <w:i w:val="false"/>
          <w:color w:val="000000"/>
          <w:sz w:val="20"/>
        </w:rPr>
        <w:t>[Prior to 9/18/24, see Professional Licensure Division[645] Ch 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481—841.1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 on Chiropractic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organization that establishes the Educational Standards of Chiropractic Colleges and Bylaws.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chiropractic physician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chiropractic to an applicant who is or has been licensed in another state and meets the criteria for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“NBCE”</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of Chiropractic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481—841.14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w:t>
      </w:r>
      <w:r>
        <w:rPr>
          <w:rFonts w:ascii="Times New Roman" w:hAnsi="Times New Roman"/>
          <w:b w:val="false"/>
          <w:i w:val="false"/>
          <w:color w:val="000000"/>
          <w:sz w:val="22"/>
        </w:rPr>
        <w:t> </w:t>
      </w:r>
      <w:r>
        <w:rPr>
          <w:rFonts w:ascii="Times New Roman" w:hAnsi="Times New Roman"/>
          <w:b w:val="false"/>
          <w:i w:val="false"/>
          <w:color w:val="000000"/>
          <w:sz w:val="22"/>
        </w:rPr>
        <w:t>means Special Purposes Examination for Chiropractic, which is an examination provided by the NBCE that is designed specifically for utilization by state or foreign licensing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481—841.2</w:t>
      </w:r>
      <w:r>
        <w:rPr>
          <w:rFonts w:ascii="Times New Roman" w:hAnsi="Times New Roman"/>
          <w:b/>
          <w:i w:val="false"/>
          <w:color w:val="000000"/>
          <w:sz w:val="22"/>
        </w:rPr>
        <w:t xml:space="preserve">(151)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841.2(1)</w:t>
      </w:r>
      <w:r>
        <w:rPr>
          <w:rFonts w:ascii="Times New Roman" w:hAnsi="Times New Roman"/>
          <w:b w:val="false"/>
          <w:i w:val="false"/>
          <w:color w:val="000000"/>
          <w:sz w:val="22"/>
        </w:rPr>
        <w:t> </w:t>
      </w:r>
      <w:r>
        <w:rPr>
          <w:rFonts w:ascii="Times New Roman" w:hAnsi="Times New Roman"/>
          <w:b w:val="false"/>
          <w:i w:val="false"/>
          <w:color w:val="000000"/>
          <w:sz w:val="22"/>
        </w:rPr>
        <w:t>To apply for a license, the applicant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complete the licensure by endorsement application and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and cannot satisfy the requirements of licensure by endorsement may apply for licensure by verification, if eligible, in accordance with rule </w:t>
      </w:r>
      <w:hyperlink r:id="rId7">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not completed according to guidelines will not be reviewed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request the accredited chiropractic school submit official copies of the applicant’s transcripts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an official certificate of completion of 120 hours of physiotherapy that includes a practicum component from a board-approved chiropractic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pass all parts of the NBCE examination as outlined in rule </w:t>
      </w:r>
      <w:hyperlink r:id="rId8">
        <w:r>
          <w:rPr>
            <w:rStyle w:val="Hyperlink"/>
            <w:rFonts w:ascii="Times New Roman" w:hAnsi="Times New Roman"/>
            <w:b w:val="false"/>
            <w:i w:val="false"/>
            <w:color w:val="000000"/>
            <w:sz w:val="22"/>
          </w:rPr>
          <w:t>481—841.3</w:t>
        </w:r>
      </w:hyperlink>
      <w:r>
        <w:rPr>
          <w:rFonts w:ascii="Times New Roman" w:hAnsi="Times New Roman"/>
          <w:b w:val="false"/>
          <w:i w:val="false"/>
          <w:color w:val="000000"/>
          <w:sz w:val="22"/>
        </w:rPr>
        <w: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copy of the chiropractic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are not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841.2(4)</w:t>
      </w:r>
      <w:r>
        <w:rPr>
          <w:rFonts w:ascii="Times New Roman" w:hAnsi="Times New Roman"/>
          <w:b w:val="false"/>
          <w:i w:val="false"/>
          <w:color w:val="000000"/>
          <w:sz w:val="22"/>
        </w:rPr>
        <w:t> </w:t>
      </w:r>
      <w:r>
        <w:rPr>
          <w:rFonts w:ascii="Times New Roman" w:hAnsi="Times New Roman"/>
          <w:b w:val="false"/>
          <w:i w:val="false"/>
          <w:color w:val="000000"/>
          <w:sz w:val="22"/>
        </w:rPr>
        <w:t>A license will be publicly displayed in the licensee’s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841.2(5)</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notify the board of chiropractic of changes in residence or place of practice within 30 days after the change of address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481—841.3</w:t>
      </w:r>
      <w:r>
        <w:rPr>
          <w:rFonts w:ascii="Times New Roman" w:hAnsi="Times New Roman"/>
          <w:b/>
          <w:i w:val="false"/>
          <w:color w:val="000000"/>
          <w:sz w:val="22"/>
        </w:rPr>
        <w:t xml:space="preserve">(151)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the application for the NBCE examination and the fee directly to the NBCE.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for the NBCE: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1973, applicants will provide proof of being issued a basic science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July 1, 1973, applicants will provide proof of successful completion of the required examination from the NBCE. The required examination will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July 1, 1973, will be defined as the successful completion of Parts I and II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August 1, 1976, will be defined as the successful completion of Parts I, II and Physiotherapy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January 1, 1987, will be defined as the successful completion of Parts I, II, III and Physiotherapy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January 1, 1996, will be defined as satisfactory completion of Parts I, II, III, IV and Physiotherapy of the NBCE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481—841.4</w:t>
      </w:r>
      <w:r>
        <w:rPr>
          <w:rFonts w:ascii="Times New Roman" w:hAnsi="Times New Roman"/>
          <w:b/>
          <w:i w:val="false"/>
          <w:color w:val="000000"/>
          <w:sz w:val="22"/>
        </w:rPr>
        <w:t xml:space="preserve">(151)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841.4(1)</w:t>
      </w:r>
      <w:r>
        <w:rPr>
          <w:rFonts w:ascii="Times New Roman" w:hAnsi="Times New Roman"/>
          <w:b w:val="false"/>
          <w:i w:val="false"/>
          <w:color w:val="000000"/>
          <w:sz w:val="22"/>
        </w:rPr>
        <w:t> </w:t>
      </w:r>
      <w:r>
        <w:rPr>
          <w:rFonts w:ascii="Times New Roman" w:hAnsi="Times New Roman"/>
          <w:b w:val="false"/>
          <w:i w:val="false"/>
          <w:color w:val="000000"/>
          <w:sz w:val="22"/>
        </w:rPr>
        <w:t>An applicant will present an official transcript verifying graduation from a CCE-accredited and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841.4(2)</w:t>
      </w:r>
      <w:r>
        <w:rPr>
          <w:rFonts w:ascii="Times New Roman" w:hAnsi="Times New Roman"/>
          <w:b w:val="false"/>
          <w:i w:val="false"/>
          <w:color w:val="000000"/>
          <w:sz w:val="22"/>
        </w:rPr>
        <w:t> </w:t>
      </w:r>
      <w:r>
        <w:rPr>
          <w:rFonts w:ascii="Times New Roman" w:hAnsi="Times New Roman"/>
          <w:b w:val="false"/>
          <w:i w:val="false"/>
          <w:color w:val="000000"/>
          <w:sz w:val="22"/>
        </w:rPr>
        <w:t>Foreign-trained chiropractic physicians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processed by the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chiropractic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481—841.5</w:t>
      </w:r>
      <w:r>
        <w:rPr>
          <w:rFonts w:ascii="Times New Roman" w:hAnsi="Times New Roman"/>
          <w:b/>
          <w:i w:val="false"/>
          <w:color w:val="000000"/>
          <w:sz w:val="22"/>
        </w:rPr>
        <w:t xml:space="preserve">(151) </w:t>
      </w:r>
      <w:r>
        <w:rPr>
          <w:rFonts w:ascii="Times New Roman" w:hAnsi="Times New Roman"/>
          <w:b/>
          <w:i w:val="false"/>
          <w:color w:val="000000"/>
          <w:sz w:val="22"/>
        </w:rPr>
        <w:t xml:space="preserve">Temporary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certificate to practice chiropractic at its discretion if the issuance is in the public interest and the applicant demonstrates a need for the temporary certificate and meets the professional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841.5(2)</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Demonstrated need. An applicant must submit information explaining the demonstrated need, how the issuance would serve the public interest, the scope of practice requested, and why a temporary certificate should be granted. To meet the demonstrated need requirement, the applicant will show the need meets one of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 special activity, event or program conducted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 state emergency as proclaimed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previously held an unrestricted license to practice chiropractic in this state and will provide gratuitous chiropractic services as a voluntary public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an urgent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841.5(3)</w:t>
      </w:r>
      <w:r>
        <w:rPr>
          <w:rFonts w:ascii="Times New Roman" w:hAnsi="Times New Roman"/>
          <w:b w:val="false"/>
          <w:i w:val="false"/>
          <w:color w:val="000000"/>
          <w:sz w:val="22"/>
        </w:rPr>
        <w:t> </w:t>
      </w:r>
      <w:r>
        <w:rPr>
          <w:rFonts w:ascii="Times New Roman" w:hAnsi="Times New Roman"/>
          <w:b w:val="false"/>
          <w:i w:val="false"/>
          <w:color w:val="000000"/>
          <w:sz w:val="22"/>
        </w:rPr>
        <w:t>Qualifications for licensure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 online application packet on the Iowa board of chiropractic website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licensed in another jurisdiction, submit a license verification document that discloses if disciplinary action was taken in the jurisdiction where the applicant was most recently licensed.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chiropractic diploma.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841.5(4)</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will be issued for one year to fulfill the demonstrated need as described in subrule </w:t>
      </w:r>
      <w:r>
        <w:rPr>
          <w:rFonts w:ascii="Times New Roman" w:hAnsi="Times New Roman"/>
          <w:b w:val="false"/>
          <w:i w:val="false"/>
          <w:color w:val="000000"/>
          <w:sz w:val="22"/>
        </w:rPr>
        <w:t>841.5(2)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temporary certificate holder who has been denied a temporary certificate may appeal the denial pursuant to rule </w:t>
      </w:r>
      <w:hyperlink r:id="rId9">
        <w:r>
          <w:rPr>
            <w:rStyle w:val="Hyperlink"/>
            <w:rFonts w:ascii="Times New Roman" w:hAnsi="Times New Roman"/>
            <w:b w:val="false"/>
            <w:i w:val="false"/>
            <w:color w:val="000000"/>
            <w:sz w:val="22"/>
          </w:rPr>
          <w:t>481—500.10</w:t>
        </w:r>
      </w:hyperlink>
      <w:r>
        <w:rPr>
          <w:rFonts w:ascii="Times New Roman" w:hAnsi="Times New Roman"/>
          <w:b w:val="false"/>
          <w:i w:val="false"/>
          <w:color w:val="000000"/>
          <w:sz w:val="22"/>
        </w:rPr>
        <w:t>(17A,147,272C). A temporary certificate holder is subject to discipline for any grounds for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holder who meets all licensure conditions as specified in rule </w:t>
      </w:r>
      <w:hyperlink r:id="rId10">
        <w:r>
          <w:rPr>
            <w:rStyle w:val="Hyperlink"/>
            <w:rFonts w:ascii="Times New Roman" w:hAnsi="Times New Roman"/>
            <w:b w:val="false"/>
            <w:i w:val="false"/>
            <w:color w:val="000000"/>
            <w:sz w:val="22"/>
          </w:rPr>
          <w:t>481—841.2</w:t>
        </w:r>
      </w:hyperlink>
      <w:r>
        <w:rPr>
          <w:rFonts w:ascii="Times New Roman" w:hAnsi="Times New Roman"/>
          <w:b w:val="false"/>
          <w:i w:val="false"/>
          <w:color w:val="000000"/>
          <w:sz w:val="22"/>
        </w:rPr>
        <w:t>(151) may obtain a permanent license in lieu of the temporary certificate. To obtain a permanent license, the applicant will submit any additional documentation required for permanent licensure that was not submitted as a part of the temporary certificate application. The applicant may receive fee credit toward the permanent licensure fee equivalent to the fee paid for the temporary certificate if the application for the permanent license and all required documentation are received by the board prior to the expiration of the temporary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481—841.6</w:t>
      </w:r>
      <w:r>
        <w:rPr>
          <w:rFonts w:ascii="Times New Roman" w:hAnsi="Times New Roman"/>
          <w:b/>
          <w:i w:val="false"/>
          <w:color w:val="000000"/>
          <w:sz w:val="22"/>
        </w:rPr>
        <w:t xml:space="preserve">(151)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begins on July 1 of an even numbered year and ends on June 30 of the next even 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481—844.2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841.8(4)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completing continuing education hours on the Iowa board of chiropractic website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for identifying and reporting child abuse, dependent adult abuse or both. A licensee will maintain written documentation of training completion for three years. The training is not required if the licensee is engaged in active duty military service or holds a waiver from the board demonstrating a hardship in complying with these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 </w:t>
      </w:r>
      <w:r>
        <w:rPr>
          <w:rFonts w:ascii="Times New Roman" w:hAnsi="Times New Roman"/>
          <w:b w:val="false"/>
          <w:i w:val="false"/>
          <w:color w:val="000000"/>
          <w:sz w:val="22"/>
        </w:rPr>
        <w:t>841.8(4)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rule are met. If the board receives adverse information on the renewal application,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841.6(6)</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licensee is responsible for renewing the license prior to expiration every two years. The licensee will complete the renewal requirements and pay the late fee within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chiropractic website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chiropractic physician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If licensed in another jurisdiction,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Submit proof of completing 40 hours of continuing education within two years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Send verification. Submit a license verification document that discloses if disciplinary action was taken against the applicant from every jurisdiction in which the applicant has been licensed.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completing 40 hours of continuing education within two years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verification of passing the SPEC if the applicant does not have a current license and has not had an active license in the United States during three of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board-approved reinstatement of the license and must apply for and be granted reactivation prior to practicing in the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9513B</w:t>
      </w:r>
      <w:r>
        <w:rPr>
          <w:rFonts w:ascii="Times New Roman" w:hAnsi="Times New Roman"/>
          <w:b w:val="false"/>
          <w:i w:val="false"/>
          <w:color w:val="000000"/>
          <w:sz w:val="21"/>
        </w:rPr>
        <w:t xml:space="preserve"> (Notice ARC 9354B,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2952C</w:t>
      </w:r>
      <w:r>
        <w:rPr>
          <w:rFonts w:ascii="Times New Roman" w:hAnsi="Times New Roman"/>
          <w:b w:val="false"/>
          <w:i w:val="false"/>
          <w:color w:val="000000"/>
          <w:sz w:val="21"/>
        </w:rPr>
        <w:t xml:space="preserve"> (Notice ARC 2857C,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4116C</w:t>
      </w:r>
      <w:r>
        <w:rPr>
          <w:rFonts w:ascii="Times New Roman" w:hAnsi="Times New Roman"/>
          <w:b w:val="false"/>
          <w:i w:val="false"/>
          <w:color w:val="000000"/>
          <w:sz w:val="21"/>
        </w:rPr>
        <w:t xml:space="preserve"> (Notice ARC 3943C, IAB 8/15/18)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4435C</w:t>
      </w:r>
      <w:r>
        <w:rPr>
          <w:rFonts w:ascii="Times New Roman" w:hAnsi="Times New Roman"/>
          <w:b w:val="false"/>
          <w:i w:val="false"/>
          <w:color w:val="000000"/>
          <w:sz w:val="21"/>
        </w:rPr>
        <w:t xml:space="preserve"> (Notice ARC 4129C, IAB 11/21/18; </w:t>
      </w:r>
      <w:r>
        <w:rPr>
          <w:rFonts w:ascii="Times New Roman" w:hAnsi="Times New Roman"/>
          <w:b w:val="false"/>
          <w:i w:val="false"/>
          <w:color w:val="000000"/>
          <w:sz w:val="21"/>
        </w:rPr>
        <w:t>Amended Notice ARC 4275C,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4950C</w:t>
      </w:r>
      <w:r>
        <w:rPr>
          <w:rFonts w:ascii="Times New Roman" w:hAnsi="Times New Roman"/>
          <w:b w:val="false"/>
          <w:i w:val="false"/>
          <w:color w:val="000000"/>
          <w:sz w:val="21"/>
        </w:rPr>
        <w:t xml:space="preserve"> (Notice ARC 4742C, IAB 11/6/19)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6897C</w:t>
      </w:r>
      <w:r>
        <w:rPr>
          <w:rFonts w:ascii="Times New Roman" w:hAnsi="Times New Roman"/>
          <w:b w:val="false"/>
          <w:i w:val="false"/>
          <w:color w:val="000000"/>
          <w:sz w:val="21"/>
        </w:rPr>
        <w:t xml:space="preserve"> (Notice ARC 6665C,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7966C</w:t>
      </w:r>
      <w:r>
        <w:rPr>
          <w:rFonts w:ascii="Times New Roman" w:hAnsi="Times New Roman"/>
          <w:b w:val="false"/>
          <w:i w:val="false"/>
          <w:color w:val="000000"/>
          <w:sz w:val="21"/>
        </w:rPr>
        <w:t xml:space="preserve"> (Notice ARC 7463C,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41.14.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1.1.pdf" Type="http://schemas.openxmlformats.org/officeDocument/2006/relationships/hyperlink" Id="rId7"/>
    <Relationship TargetMode="External" Target="https://www.legis.iowa.gov/docs/iac/rule/481.841.3.pdf" Type="http://schemas.openxmlformats.org/officeDocument/2006/relationships/hyperlink" Id="rId8"/>
    <Relationship TargetMode="External" Target="https://www.legis.iowa.gov/docs/iac/rule/481.500.10.pdf" Type="http://schemas.openxmlformats.org/officeDocument/2006/relationships/hyperlink" Id="rId9"/>
    <Relationship TargetMode="External" Target="https://www.legis.iowa.gov/docs/iac/rule/481.841.2.pdf" Type="http://schemas.openxmlformats.org/officeDocument/2006/relationships/hyperlink" Id="rId10"/>
    <Relationship TargetMode="External" Target="https://www.legis.iowa.gov/docs/iac/rule/481.844.2.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51.pdf" Type="http://schemas.openxmlformats.org/officeDocument/2006/relationships/hyperlink" Id="rId14"/>
    <Relationship TargetMode="External" Target="https://www.legis.iowa.gov/docs/ico/chapter/272C.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