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824</w:t>
      </w:r>
    </w:p>
    <w:p>
      <w:pPr>
        <w:spacing w:before="0" w:after="0"/>
        <w:ind w:left="120"/>
        <w:jc w:val="center"/>
      </w:pPr>
      <w:r>
        <w:rPr>
          <w:rFonts w:ascii="Times New Roman" w:hAnsi="Times New Roman"/>
          <w:b w:val="false"/>
          <w:i w:val="false"/>
          <w:color w:val="000000"/>
          <w:sz w:val="21"/>
        </w:rPr>
        <w:t>DISCIPLINE FOR MASSAGE THERAPISTS</w:t>
      </w:r>
    </w:p>
    <w:p>
      <w:pPr>
        <w:spacing w:before="0" w:after="0"/>
        <w:ind w:left="120"/>
        <w:jc w:val="center"/>
      </w:pPr>
      <w:r>
        <w:rPr>
          <w:rFonts w:ascii="Times New Roman" w:hAnsi="Times New Roman"/>
          <w:b w:val="false"/>
          <w:i w:val="false"/>
          <w:color w:val="000000"/>
          <w:sz w:val="20"/>
        </w:rPr>
        <w:t>[Prior to 6/26/02, see 645—Ch 131]</w:t>
      </w:r>
    </w:p>
    <w:p>
      <w:pPr>
        <w:spacing w:before="0" w:after="0"/>
        <w:ind w:left="120"/>
        <w:jc w:val="center"/>
      </w:pPr>
      <w:r>
        <w:rPr>
          <w:rFonts w:ascii="Times New Roman" w:hAnsi="Times New Roman"/>
          <w:b w:val="false"/>
          <w:i w:val="false"/>
          <w:color w:val="000000"/>
          <w:sz w:val="20"/>
        </w:rPr>
        <w:t>[Prior to 9/18/24, see Professional Licensure Division[645] Ch 134]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481—824.1</w:t>
      </w:r>
      <w:r>
        <w:rPr>
          <w:rFonts w:ascii="Times New Roman" w:hAnsi="Times New Roman"/>
          <w:b/>
          <w:i w:val="false"/>
          <w:color w:val="000000"/>
          <w:sz w:val="22"/>
        </w:rPr>
        <w:t xml:space="preserve">(152C) </w:t>
      </w:r>
      <w:r>
        <w:rPr>
          <w:rFonts w:ascii="Times New Roman" w:hAnsi="Times New Roman"/>
          <w:b/>
          <w:i w:val="false"/>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824.1(1)</w:t>
      </w:r>
      <w:r>
        <w:rPr>
          <w:rFonts w:ascii="Times New Roman" w:hAnsi="Times New Roman"/>
          <w:b w:val="false"/>
          <w:i w:val="false"/>
          <w:color w:val="000000"/>
          <w:sz w:val="22"/>
        </w:rPr>
        <w:t> </w:t>
      </w:r>
      <w:r>
        <w:rPr>
          <w:rFonts w:ascii="Times New Roman" w:hAnsi="Times New Roman"/>
          <w:b w:val="false"/>
          <w:i w:val="false"/>
          <w:color w:val="000000"/>
          <w:sz w:val="22"/>
        </w:rPr>
        <w:t>Civil penalties may be imposed upon a person or business that employs an individual who is not licensed as a massage therapist. Civil penalties may be imposed upon a person or business that employs an individual who uses the initials “L.M.T.” or the words “licensed massage therapist,” “massage therapist,” “masseur,” or “masseuse,” or any other words or titles that imply or represent that the employed person practices massage therapy but who is not licensed as a massage therapist. Failure to follow the above may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civil penalty not to exceed $1,000 on a person or business that violates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violation is a separate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day a continued violation occurs after citation by the board is a separate offense with the maximum penalty not to exceed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board’s inspection of any facility that advertises or offers services purporting to be delivered by massage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being sent to the alleged violator by certified mail, return receipt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board’s consideration of the following in determining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or resulting in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welfare or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824.1(2)</w:t>
      </w:r>
      <w:r>
        <w:rPr>
          <w:rFonts w:ascii="Times New Roman" w:hAnsi="Times New Roman"/>
          <w:b w:val="false"/>
          <w:i w:val="false"/>
          <w:color w:val="000000"/>
          <w:sz w:val="22"/>
        </w:rPr>
        <w:t> </w:t>
      </w:r>
      <w:r>
        <w:rPr>
          <w:rFonts w:ascii="Times New Roman" w:hAnsi="Times New Roman"/>
          <w:b w:val="false"/>
          <w:i w:val="false"/>
          <w:color w:val="000000"/>
          <w:sz w:val="22"/>
        </w:rPr>
        <w:t>Civil penalties may be imposed upon a person who is practicing as a massage therapist without a license. Civil penalties may be imposed upon a person who practices as an individual and uses the initials “L.M.T.” or the words “licensed massage therapist,” “massage therapist,” “masseur,” or “masseuse,” or any other words or titles that imply or represent that the person practices massage therapy but who is not licensed as a massage therapist. A person must be licensed as a massage therapist to practice in this state as a massage therapist. Failure to follow the above may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civil penalty not to exceed $1,000 on a person who violates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violation is a separate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day a continued violation occurs after citation by the board is a separate offense with the maximum penalty not to exceed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board’s inspection of any facility that advertises or offers services purporting to be delivered by massage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being sent to the alleged violator by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board’s consideration of the following in determining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or resulting in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welfare or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824.1(3)</w:t>
      </w:r>
      <w:r>
        <w:rPr>
          <w:rFonts w:ascii="Times New Roman" w:hAnsi="Times New Roman"/>
          <w:b w:val="false"/>
          <w:i w:val="false"/>
          <w:color w:val="000000"/>
          <w:sz w:val="22"/>
        </w:rPr>
        <w:t> </w:t>
      </w:r>
      <w:r>
        <w:rPr>
          <w:rFonts w:ascii="Times New Roman" w:hAnsi="Times New Roman"/>
          <w:b w:val="false"/>
          <w:i w:val="false"/>
          <w:color w:val="000000"/>
          <w:sz w:val="22"/>
        </w:rPr>
        <w:t>Issuing an order or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provide a written notice and the opportunity to request a hearing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must be requested within 30 days of the issuance of the notice and shall be conducted according to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in connection with a proceeding under this subrule, issue subpoenas to require the attendance and testimony of witnesses and the disclosure of evidence and may request the attorney general to bring an action to enforce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824.1(4)</w:t>
      </w:r>
      <w:r>
        <w:rPr>
          <w:rFonts w:ascii="Times New Roman" w:hAnsi="Times New Roman"/>
          <w:b w:val="false"/>
          <w:i w:val="false"/>
          <w:color w:val="000000"/>
          <w:sz w:val="22"/>
        </w:rPr>
        <w:t> </w:t>
      </w:r>
      <w:r>
        <w:rPr>
          <w:rFonts w:ascii="Times New Roman" w:hAnsi="Times New Roman"/>
          <w:b w:val="false"/>
          <w:i w:val="false"/>
          <w:color w:val="000000"/>
          <w:sz w:val="22"/>
        </w:rPr>
        <w:t>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the imposition of a civil penalty under this rule may seek a judicial review in accordance with Iowa Code section </w:t>
      </w:r>
      <w:hyperlink r:id="rId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the attorney general of the failure to pay a civil penalty within 30 days after entry of an order or within 10 days following final judgment in favor of the board if an order has been stayed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commence an action to recover the amount of the penalty, including reasonable attorney fees and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action to enforce an order under this rule may be joined with an action for an injunction.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in violation of the statute or rules if that person practices massage therapy for compensation while in attendance at a school offering a curriculum meeting the requirements of </w:t>
      </w:r>
      <w:hyperlink r:id="rId7">
        <w:r>
          <w:rPr>
            <w:rStyle w:val="Hyperlink"/>
            <w:rFonts w:ascii="Times New Roman" w:hAnsi="Times New Roman"/>
            <w:b w:val="false"/>
            <w:i w:val="false"/>
            <w:color w:val="000000"/>
            <w:sz w:val="22"/>
          </w:rPr>
          <w:t>481—Chapter 822</w:t>
        </w:r>
      </w:hyperlink>
      <w:r>
        <w:rPr>
          <w:rFonts w:ascii="Times New Roman" w:hAnsi="Times New Roman"/>
          <w:b w:val="false"/>
          <w:i w:val="false"/>
          <w:color w:val="000000"/>
          <w:sz w:val="22"/>
        </w:rPr>
        <w:t xml:space="preserve"> and is under the supervision of a member of the school’s faculty.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8054C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5/21/93, Notice 3/13/93—published 6/9/93, effective 7/14/93]</w:t>
      </w:r>
    </w:p>
    <w:p>
      <w:pPr>
        <w:spacing w:before="0" w:after="0"/>
        <w:ind w:left="120"/>
        <w:jc w:val="center"/>
      </w:pPr>
      <w:r>
        <w:rPr>
          <w:rFonts w:ascii="Times New Roman" w:hAnsi="Times New Roman"/>
          <w:b w:val="false"/>
          <w:i w:val="false"/>
          <w:color w:val="000000"/>
          <w:sz w:val="21"/>
        </w:rPr>
        <w:t>[Filed 11/15/96, Notice 7/31/96—published 12/4/96, effective 1/8/97]</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6/25/99, Notice 4/7/99—published 7/14/99, effective 8/18/99]</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6/5/02, Notice 1/23/02—published 6/26/02, effective7/31/02]</w:t>
      </w:r>
    </w:p>
    <w:p>
      <w:pPr>
        <w:spacing w:before="0" w:after="0"/>
        <w:ind w:left="120"/>
        <w:jc w:val="center"/>
      </w:pPr>
      <w:r>
        <w:rPr>
          <w:rFonts w:ascii="Times New Roman" w:hAnsi="Times New Roman"/>
          <w:b w:val="false"/>
          <w:i w:val="false"/>
          <w:color w:val="000000"/>
          <w:sz w:val="21"/>
        </w:rPr>
        <w:t>[Filed 6/3/04, Notice 3/31/04—published 6/23/04, effective 7/28/04]</w:t>
      </w:r>
    </w:p>
    <w:p>
      <w:pPr>
        <w:spacing w:before="0" w:after="0"/>
        <w:ind w:left="120"/>
        <w:jc w:val="center"/>
      </w:pPr>
      <w:r>
        <w:rPr>
          <w:rFonts w:ascii="Times New Roman" w:hAnsi="Times New Roman"/>
          <w:b w:val="false"/>
          <w:i w:val="false"/>
          <w:color w:val="000000"/>
          <w:sz w:val="21"/>
        </w:rPr>
        <w:t>[Filed 6/15/05, Notice 4/27/05—published 7/6/05, effective 8/10/05]</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3/8/06, Notice 1/4/06—published 3/29/06, effective 5/3/06]</w:t>
      </w:r>
    </w:p>
    <w:p>
      <w:pPr>
        <w:spacing w:before="0" w:after="0"/>
        <w:ind w:left="120"/>
        <w:jc w:val="center"/>
      </w:pPr>
      <w:r>
        <w:rPr>
          <w:rFonts w:ascii="Times New Roman" w:hAnsi="Times New Roman"/>
          <w:b w:val="false"/>
          <w:i w:val="false"/>
          <w:color w:val="000000"/>
          <w:sz w:val="21"/>
        </w:rPr>
        <w:t>[Filed 6/9/06, Notice 3/29/06—published 7/5/06, effective 8/9/06]</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8620B</w:t>
      </w:r>
      <w:r>
        <w:rPr>
          <w:rFonts w:ascii="Times New Roman" w:hAnsi="Times New Roman"/>
          <w:b w:val="false"/>
          <w:i w:val="false"/>
          <w:color w:val="000000"/>
          <w:sz w:val="21"/>
        </w:rPr>
        <w:t xml:space="preserve"> (Notice ARC 8277B, IAB 11/18/09)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9751B</w:t>
      </w:r>
      <w:r>
        <w:rPr>
          <w:rFonts w:ascii="Times New Roman" w:hAnsi="Times New Roman"/>
          <w:b w:val="false"/>
          <w:i w:val="false"/>
          <w:color w:val="000000"/>
          <w:sz w:val="21"/>
        </w:rPr>
        <w:t xml:space="preserve"> (Notice ARC 9432B, IAB 3/23/11)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5769C</w:t>
      </w:r>
      <w:r>
        <w:rPr>
          <w:rFonts w:ascii="Times New Roman" w:hAnsi="Times New Roman"/>
          <w:b w:val="false"/>
          <w:i w:val="false"/>
          <w:color w:val="000000"/>
          <w:sz w:val="21"/>
        </w:rPr>
        <w:t xml:space="preserve"> (Notice ARC 5443C,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8054C</w:t>
      </w:r>
      <w:r>
        <w:rPr>
          <w:rFonts w:ascii="Times New Roman" w:hAnsi="Times New Roman"/>
          <w:b w:val="false"/>
          <w:i w:val="false"/>
          <w:color w:val="000000"/>
          <w:sz w:val="21"/>
        </w:rPr>
        <w:t xml:space="preserve"> (Notice ARC 7482C,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19.pdf" Type="http://schemas.openxmlformats.org/officeDocument/2006/relationships/hyperlink" Id="rId6"/>
    <Relationship TargetMode="External" Target="https://www.legis.iowa.gov/docs/iac/chapter/481.822.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2C.pdf" Type="http://schemas.openxmlformats.org/officeDocument/2006/relationships/hyperlink" Id="rId9"/>
    <Relationship TargetMode="External" Target="https://www.legis.iowa.gov/docs/ico/chapter/272C.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