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823</w:t>
      </w:r>
    </w:p>
    <w:p>
      <w:pPr>
        <w:spacing w:before="0" w:after="0"/>
        <w:ind w:left="120"/>
        <w:jc w:val="center"/>
      </w:pPr>
      <w:r>
        <w:rPr>
          <w:rFonts w:ascii="Times New Roman" w:hAnsi="Times New Roman"/>
          <w:b w:val="false"/>
          <w:i w:val="false"/>
          <w:color w:val="000000"/>
          <w:sz w:val="21"/>
        </w:rPr>
        <w:t>CONTINUING EDUCATION FOR MASSAGE THERAPISTS</w:t>
      </w:r>
    </w:p>
    <w:p>
      <w:pPr>
        <w:spacing w:before="0" w:after="0"/>
        <w:ind w:left="120"/>
        <w:jc w:val="center"/>
      </w:pPr>
      <w:r>
        <w:rPr>
          <w:rFonts w:ascii="Times New Roman" w:hAnsi="Times New Roman"/>
          <w:b w:val="false"/>
          <w:i w:val="false"/>
          <w:color w:val="000000"/>
          <w:sz w:val="20"/>
        </w:rPr>
        <w:t>[Prior to 6/26/02, see 645—Ch 132]</w:t>
      </w:r>
    </w:p>
    <w:p>
      <w:pPr>
        <w:spacing w:before="0" w:after="0"/>
        <w:ind w:left="120"/>
        <w:jc w:val="center"/>
      </w:pPr>
      <w:r>
        <w:rPr>
          <w:rFonts w:ascii="Times New Roman" w:hAnsi="Times New Roman"/>
          <w:b w:val="false"/>
          <w:i w:val="false"/>
          <w:color w:val="000000"/>
          <w:sz w:val="20"/>
        </w:rPr>
        <w:t>[Prior to 9/18/24, see Professional Licensure Division[645] Ch 133]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481—823.1</w:t>
      </w:r>
      <w:r>
        <w:rPr>
          <w:rFonts w:ascii="Times New Roman" w:hAnsi="Times New Roman"/>
          <w:b/>
          <w:i w:val="false"/>
          <w:color w:val="000000"/>
          <w:sz w:val="22"/>
        </w:rPr>
        <w:t xml:space="preserve">(152C)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 or the selection of providers for verification of adherence to continuing education provider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massage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acquired during initial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“Hands-on training”</w:t>
      </w:r>
      <w:r>
        <w:rPr>
          <w:rFonts w:ascii="Times New Roman" w:hAnsi="Times New Roman"/>
          <w:b w:val="false"/>
          <w:i w:val="false"/>
          <w:color w:val="000000"/>
          <w:sz w:val="22"/>
        </w:rPr>
        <w:t> </w:t>
      </w:r>
      <w:r>
        <w:rPr>
          <w:rFonts w:ascii="Times New Roman" w:hAnsi="Times New Roman"/>
          <w:b w:val="false"/>
          <w:i w:val="false"/>
          <w:color w:val="000000"/>
          <w:sz w:val="22"/>
        </w:rPr>
        <w:t>means learning techniques that manipulate the soft tissue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massage therapist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“Presenter”</w:t>
      </w:r>
      <w:r>
        <w:rPr>
          <w:rFonts w:ascii="Times New Roman" w:hAnsi="Times New Roman"/>
          <w:b w:val="false"/>
          <w:i w:val="false"/>
          <w:color w:val="000000"/>
          <w:sz w:val="22"/>
        </w:rPr>
        <w:t> </w:t>
      </w:r>
      <w:r>
        <w:rPr>
          <w:rFonts w:ascii="Times New Roman" w:hAnsi="Times New Roman"/>
          <w:b w:val="false"/>
          <w:i w:val="false"/>
          <w:color w:val="000000"/>
          <w:sz w:val="22"/>
        </w:rPr>
        <w:t>means person(s)/instructor(s) providing continuing education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481—823.2</w:t>
      </w:r>
      <w:r>
        <w:rPr>
          <w:rFonts w:ascii="Times New Roman" w:hAnsi="Times New Roman"/>
          <w:b/>
          <w:i w:val="false"/>
          <w:color w:val="000000"/>
          <w:sz w:val="22"/>
        </w:rPr>
        <w:t xml:space="preserve">(152C)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Each biennium, each person who is licensed to practice as a massage therapist in this state shall be required to complete a minimum of 16 hours of continuing education. A biennium is a two-year period beginning with the date the license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runs concurrently with each two-year renewal period. The renewal period begins on the date the initial license is granted and ends two years later on the day before the anniversary date of that initial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823.2(2)</w:t>
      </w:r>
      <w:r>
        <w:rPr>
          <w:rFonts w:ascii="Times New Roman" w:hAnsi="Times New Roman"/>
          <w:b w:val="false"/>
          <w:i w:val="false"/>
          <w:color w:val="000000"/>
          <w:sz w:val="22"/>
        </w:rPr>
        <w:t> </w:t>
      </w:r>
      <w:r>
        <w:rPr>
          <w:rFonts w:ascii="Times New Roman" w:hAnsi="Times New Roman"/>
          <w:b w:val="false"/>
          <w:i w:val="false"/>
          <w:color w:val="000000"/>
          <w:sz w:val="22"/>
        </w:rPr>
        <w:t>Requirements for new licensees. Those persons licensed for the first time are not required to complete continuing education as a prerequisite for the first renewal of their licenses. Continuing education hours acquired anytime from the initial licensing until the second license renewal period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meeting the requirements of this chapter.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823.2(4)</w:t>
      </w:r>
      <w:r>
        <w:rPr>
          <w:rFonts w:ascii="Times New Roman" w:hAnsi="Times New Roman"/>
          <w:b w:val="false"/>
          <w:i w:val="false"/>
          <w:color w:val="000000"/>
          <w:sz w:val="22"/>
        </w:rPr>
        <w:t> </w:t>
      </w:r>
      <w:r>
        <w:rPr>
          <w:rFonts w:ascii="Times New Roman" w:hAnsi="Times New Roman"/>
          <w:b w:val="false"/>
          <w:i w:val="false"/>
          <w:color w:val="000000"/>
          <w:sz w:val="22"/>
        </w:rPr>
        <w:t>Licensees who complete continuing education hours in excess of the requirements for renewal may apply up to 50 percent of the required hours to the following renewal period. Licensees may apply a maximum of eight hours from the previous renewal period.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823.2(5)</w:t>
      </w:r>
      <w:r>
        <w:rPr>
          <w:rFonts w:ascii="Times New Roman" w:hAnsi="Times New Roman"/>
          <w:b w:val="false"/>
          <w:i w:val="false"/>
          <w:color w:val="000000"/>
          <w:sz w:val="22"/>
        </w:rPr>
        <w:t> </w:t>
      </w:r>
      <w:r>
        <w:rPr>
          <w:rFonts w:ascii="Times New Roman" w:hAnsi="Times New Roman"/>
          <w:b w:val="false"/>
          <w:i w:val="false"/>
          <w:color w:val="000000"/>
          <w:sz w:val="22"/>
        </w:rPr>
        <w:t>The cost of continuing education is the responsibility of each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9107C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481—823.3</w:t>
      </w:r>
      <w:r>
        <w:rPr>
          <w:rFonts w:ascii="Times New Roman" w:hAnsi="Times New Roman"/>
          <w:b/>
          <w:i w:val="false"/>
          <w:color w:val="000000"/>
          <w:sz w:val="22"/>
        </w:rPr>
        <w:t xml:space="preserve">(152C,272C) </w:t>
      </w:r>
      <w:r>
        <w:rPr>
          <w:rFonts w:ascii="Times New Roman" w:hAnsi="Times New Roman"/>
          <w:b/>
          <w:i w:val="false"/>
          <w:color w:val="000000"/>
          <w:sz w:val="22"/>
        </w:rPr>
        <w:t xml:space="preserve">Continuing education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from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A licensee shall obtain a minimum of 16 hours of continuing education credit every two years. A minimum of 8 hours of the 16 hours must be earned by completing a program in which instruction is provided in person or through live, real-time interactive media. Although in-person continuing education instruction is not required, the board strongly encourages all licensees to obtain in-person instruction whenever feasible, especially when learning new techniques. Licensees may obtain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Attending workshops,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Accessing online training, such as viewing interactive conferences, attending webinars, or completing online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Teaching curriculum at a school of massage therapy or presenting professional continuing education programs that meet the criteria listed in this subrule. One hour of credit will be awarded for each hour of presentation. A course schedule or brochure must be maintained for audit. A maximum of 4 hours may be awarded under this paragraph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courses that directly relate to the professional competency of the licensee. Official transcripts indicating successful completion of academic courses that apply to the field of massage therapy will be necessary in order for the licensee to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 of credit</w:t>
      </w:r>
    </w:p>
    <w:p>
      <w:pPr>
        <w:spacing w:before="0" w:after="0"/>
        <w:ind w:left="120"/>
        <w:jc w:val="both"/>
      </w:pPr>
      <w:r>
        <w:rPr>
          <w:rFonts w:ascii="Times New Roman" w:hAnsi="Times New Roman"/>
          <w:b w:val="false"/>
          <w:i w:val="false"/>
          <w:color w:val="000000"/>
          <w:sz w:val="22"/>
        </w:rPr>
        <w:t>1 academic trimester hour = 12 continuing education hours of credit</w:t>
      </w:r>
    </w:p>
    <w:p>
      <w:pPr>
        <w:spacing w:before="0" w:after="0"/>
        <w:ind w:left="120"/>
        <w:jc w:val="both"/>
      </w:pPr>
      <w:r>
        <w:rPr>
          <w:rFonts w:ascii="Times New Roman" w:hAnsi="Times New Roman"/>
          <w:b w:val="false"/>
          <w:i w:val="false"/>
          <w:color w:val="000000"/>
          <w:sz w:val="22"/>
        </w:rPr>
        <w:t>1 academic quarter hour = 10 continuing education hours of credit</w:t>
      </w:r>
    </w:p>
    <w:p>
      <w:pPr>
        <w:spacing w:before="0" w:after="0"/>
        <w:ind w:left="120"/>
        <w:jc w:val="both"/>
      </w:pPr>
      <w:r>
        <w:rPr>
          <w:rFonts w:ascii="Times New Roman" w:hAnsi="Times New Roman"/>
          <w:b w:val="false"/>
          <w:i w:val="false"/>
          <w:color w:val="000000"/>
          <w:sz w:val="22"/>
        </w:rPr>
        <w:t>1 academic clock hour = 1 continuing education hour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Teaching in an approved college, university, or graduate school. The licensee may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 of credit</w:t>
      </w:r>
    </w:p>
    <w:p>
      <w:pPr>
        <w:spacing w:before="0" w:after="0"/>
        <w:ind w:left="120"/>
        <w:jc w:val="both"/>
      </w:pPr>
      <w:r>
        <w:rPr>
          <w:rFonts w:ascii="Times New Roman" w:hAnsi="Times New Roman"/>
          <w:b w:val="false"/>
          <w:i w:val="false"/>
          <w:color w:val="000000"/>
          <w:sz w:val="22"/>
        </w:rPr>
        <w:t>1 academic trimester hour = 12 continuing education hours of credit</w:t>
      </w:r>
    </w:p>
    <w:p>
      <w:pPr>
        <w:spacing w:before="0" w:after="0"/>
        <w:ind w:left="120"/>
        <w:jc w:val="both"/>
      </w:pPr>
      <w:r>
        <w:rPr>
          <w:rFonts w:ascii="Times New Roman" w:hAnsi="Times New Roman"/>
          <w:b w:val="false"/>
          <w:i w:val="false"/>
          <w:color w:val="000000"/>
          <w:sz w:val="22"/>
        </w:rPr>
        <w:t>1 academic quarter hour = 10 continuing education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Authoring research the results of which are published in a recognized professional publication. The licensee will receive 5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Taking courses directly beneficial to business practices necessary for operating a massage practice. Content areas include, but are not limited to, business management, financial management, accounting, tax preparation, marketing, human relations, communication skills, business ethics, and massage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Taking courses related to personal skills topics, such as career burnout, communication skills, human relations,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Completing programs that enhance a supplemental or complementary skill set directly related to promoting the public health while providing massage therapy. Content areas include, but are not limited to, CPR, first aid, contraindication training, sanitation, and geriatric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Completing mandatory reporter training pursuant to Iowa Code sections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One hour of credit will be awarded for each hour of completed 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Passing a board-approved national examination administered by the Federation of State Massage Therapy Boards or the National Certification Board for Therapeutic Massage and Bodywork within the biennial continuing education compliance period. A copy of the applicant’s official notification may be used by the board as verification.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6/5/02, Notice 1/23/02—published 6/26/02, effective 7/31/02]</w:t>
      </w:r>
    </w:p>
    <w:p>
      <w:pPr>
        <w:spacing w:before="0" w:after="0"/>
        <w:ind w:left="120"/>
        <w:jc w:val="center"/>
      </w:pPr>
      <w:r>
        <w:rPr>
          <w:rFonts w:ascii="Times New Roman" w:hAnsi="Times New Roman"/>
          <w:b w:val="false"/>
          <w:i w:val="false"/>
          <w:color w:val="000000"/>
          <w:sz w:val="21"/>
        </w:rPr>
        <w:t>[Filed 7/3/03, Notice 4/16/03—published 7/23/03, effective 8/27/03]</w:t>
      </w:r>
    </w:p>
    <w:p>
      <w:pPr>
        <w:spacing w:before="0" w:after="0"/>
        <w:ind w:left="120"/>
        <w:jc w:val="center"/>
      </w:pPr>
      <w:r>
        <w:rPr>
          <w:rFonts w:ascii="Times New Roman" w:hAnsi="Times New Roman"/>
          <w:b w:val="false"/>
          <w:i w:val="false"/>
          <w:color w:val="000000"/>
          <w:sz w:val="21"/>
        </w:rPr>
        <w:t>[Filed 6/15/05, Notice 4/27/05—published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12/9/05, Notice 9/28/05—published 1/4/06, effective 2/8/06]</w:t>
      </w:r>
    </w:p>
    <w:p>
      <w:pPr>
        <w:spacing w:before="0" w:after="0"/>
        <w:ind w:left="120"/>
        <w:jc w:val="center"/>
      </w:pPr>
      <w:r>
        <w:rPr>
          <w:rFonts w:ascii="Times New Roman" w:hAnsi="Times New Roman"/>
          <w:b w:val="false"/>
          <w:i w:val="false"/>
          <w:color w:val="000000"/>
          <w:sz w:val="21"/>
        </w:rPr>
        <w:t>[Filed 3/14/07, Notice 1/3/07—published 4/11/07, effective 5/16/07]</w:t>
      </w:r>
    </w:p>
    <w:p>
      <w:pPr>
        <w:spacing w:before="0" w:after="0"/>
        <w:ind w:left="120"/>
        <w:jc w:val="center"/>
      </w:pPr>
      <w:r>
        <w:rPr>
          <w:rFonts w:ascii="Times New Roman" w:hAnsi="Times New Roman"/>
          <w:b w:val="false"/>
          <w:i w:val="false"/>
          <w:color w:val="000000"/>
          <w:sz w:val="21"/>
        </w:rPr>
        <w:t>[Filed 9/7/07, Notice 7/4/07—published 9/26/07, effective 10/31/07]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2778C</w:t>
      </w:r>
      <w:r>
        <w:rPr>
          <w:rFonts w:ascii="Times New Roman" w:hAnsi="Times New Roman"/>
          <w:b w:val="false"/>
          <w:i w:val="false"/>
          <w:color w:val="000000"/>
          <w:sz w:val="21"/>
        </w:rPr>
        <w:t xml:space="preserve"> (Notice ARC 2503C, IAB 4/27/16)</w:t>
      </w:r>
      <w:r>
        <w:rPr>
          <w:rFonts w:ascii="Times New Roman" w:hAnsi="Times New Roman"/>
          <w:b w:val="false"/>
          <w:i w:val="false"/>
          <w:color w:val="000000"/>
          <w:sz w:val="21"/>
        </w:rPr>
        <w:t>, IAB 10/26/16, effective 11/30/16]</w:t>
      </w:r>
    </w:p>
    <w:p>
      <w:pPr>
        <w:spacing w:before="0" w:after="0"/>
        <w:ind w:left="120"/>
        <w:jc w:val="center"/>
      </w:pPr>
      <w:r>
        <w:rPr>
          <w:rFonts w:ascii="Times New Roman" w:hAnsi="Times New Roman"/>
          <w:b w:val="false"/>
          <w:i w:val="false"/>
          <w:color w:val="000000"/>
          <w:sz w:val="21"/>
        </w:rPr>
        <w:t>[Filed ARC 6827C</w:t>
      </w:r>
      <w:r>
        <w:rPr>
          <w:rFonts w:ascii="Times New Roman" w:hAnsi="Times New Roman"/>
          <w:b w:val="false"/>
          <w:i w:val="false"/>
          <w:color w:val="000000"/>
          <w:sz w:val="21"/>
        </w:rPr>
        <w:t xml:space="preserve"> (Notice ARC 6597C, IAB 10/19/22)</w:t>
      </w:r>
      <w:r>
        <w:rPr>
          <w:rFonts w:ascii="Times New Roman" w:hAnsi="Times New Roman"/>
          <w:b w:val="false"/>
          <w:i w:val="false"/>
          <w:color w:val="000000"/>
          <w:sz w:val="21"/>
        </w:rPr>
        <w:t>, IAB 1/25/23, effective 3/1/23]</w:t>
      </w:r>
    </w:p>
    <w:p>
      <w:pPr>
        <w:spacing w:before="0" w:after="0"/>
        <w:ind w:left="120"/>
        <w:jc w:val="center"/>
      </w:pPr>
      <w:r>
        <w:rPr>
          <w:rFonts w:ascii="Times New Roman" w:hAnsi="Times New Roman"/>
          <w:b w:val="false"/>
          <w:i w:val="false"/>
          <w:color w:val="000000"/>
          <w:sz w:val="21"/>
        </w:rPr>
        <w:t>[Filed ARC 6992C</w:t>
      </w:r>
      <w:r>
        <w:rPr>
          <w:rFonts w:ascii="Times New Roman" w:hAnsi="Times New Roman"/>
          <w:b w:val="false"/>
          <w:i w:val="false"/>
          <w:color w:val="000000"/>
          <w:sz w:val="21"/>
        </w:rPr>
        <w:t xml:space="preserve"> (Notice ARC 6650C,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8053C</w:t>
      </w:r>
      <w:r>
        <w:rPr>
          <w:rFonts w:ascii="Times New Roman" w:hAnsi="Times New Roman"/>
          <w:b w:val="false"/>
          <w:i w:val="false"/>
          <w:color w:val="000000"/>
          <w:sz w:val="21"/>
        </w:rPr>
        <w:t xml:space="preserve"> (Notice ARC 7481C, IAB 1/10/24)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9107C</w:t>
      </w:r>
      <w:r>
        <w:rPr>
          <w:rFonts w:ascii="Times New Roman" w:hAnsi="Times New Roman"/>
          <w:b w:val="false"/>
          <w:i w:val="false"/>
          <w:color w:val="000000"/>
          <w:sz w:val="21"/>
        </w:rPr>
        <w:t xml:space="preserve"> (Notice ARC 8790C, IAB 1/8/25)</w:t>
      </w:r>
      <w:r>
        <w:rPr>
          <w:rFonts w:ascii="Times New Roman" w:hAnsi="Times New Roman"/>
          <w:b w:val="false"/>
          <w:i w:val="false"/>
          <w:color w:val="000000"/>
          <w:sz w:val="21"/>
        </w:rPr>
        <w:t>, IAB 4/16/25, effective 5/21/25]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co/chapter/235B.16.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2C.pdf" Type="http://schemas.openxmlformats.org/officeDocument/2006/relationships/hyperlink" Id="rId9"/>
    <Relationship TargetMode="External" Target="https://www.legis.iowa.gov/docs/ico/chapter/272C.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