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807</w:t>
      </w:r>
    </w:p>
    <w:p>
      <w:pPr>
        <w:spacing w:before="0" w:after="0"/>
        <w:ind w:left="120"/>
        <w:jc w:val="center"/>
      </w:pPr>
      <w:r>
        <w:rPr>
          <w:rFonts w:ascii="Times New Roman" w:hAnsi="Times New Roman"/>
          <w:b w:val="false"/>
          <w:i w:val="false"/>
          <w:color w:val="000000"/>
          <w:sz w:val="21"/>
        </w:rPr>
        <w:t xml:space="preserve">DISCIPLINE FOR OCCUPATIONAL THERAPISTS </w:t>
      </w:r>
      <w:r>
        <w:br/>
      </w:r>
      <w:r>
        <w:rPr>
          <w:rFonts w:ascii="Times New Roman" w:hAnsi="Times New Roman"/>
          <w:b w:val="false"/>
          <w:i w:val="false"/>
          <w:color w:val="000000"/>
          <w:sz w:val="21"/>
        </w:rPr>
        <w:t>AND OCCUPATIONAL THERAPY ASSISTANTS</w:t>
      </w:r>
    </w:p>
    <w:p>
      <w:pPr>
        <w:spacing w:before="0" w:after="0"/>
        <w:ind w:left="120"/>
        <w:jc w:val="center"/>
      </w:pPr>
      <w:r>
        <w:rPr>
          <w:rFonts w:ascii="Times New Roman" w:hAnsi="Times New Roman"/>
          <w:b w:val="false"/>
          <w:i w:val="false"/>
          <w:color w:val="000000"/>
          <w:sz w:val="20"/>
        </w:rPr>
        <w:t>[Prior to 3/6/02, see 645—201.10(272C)]</w:t>
      </w:r>
    </w:p>
    <w:p>
      <w:pPr>
        <w:spacing w:before="0" w:after="0"/>
        <w:ind w:left="120"/>
        <w:jc w:val="center"/>
      </w:pPr>
      <w:r>
        <w:rPr>
          <w:rFonts w:ascii="Times New Roman" w:hAnsi="Times New Roman"/>
          <w:b w:val="false"/>
          <w:i w:val="false"/>
          <w:color w:val="000000"/>
          <w:sz w:val="20"/>
        </w:rPr>
        <w:t>[Prior to 12/24/03, see 645—Ch 208]</w:t>
      </w:r>
    </w:p>
    <w:p>
      <w:pPr>
        <w:spacing w:before="0" w:after="0"/>
        <w:ind w:left="120"/>
        <w:jc w:val="center"/>
      </w:pPr>
      <w:r>
        <w:rPr>
          <w:rFonts w:ascii="Times New Roman" w:hAnsi="Times New Roman"/>
          <w:b w:val="false"/>
          <w:i w:val="false"/>
          <w:color w:val="000000"/>
          <w:sz w:val="20"/>
        </w:rPr>
        <w:t>[Prior to 9/18/24, see Professional Licensure Division[645] Ch 209]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7/1/29</w:t>
      </w:r>
    </w:p>
    <w:p>
      <w:pPr>
        <w:spacing w:before="0" w:after="0"/>
        <w:ind w:left="120"/>
        <w:jc w:val="both"/>
      </w:pPr>
      <w:r>
        <w:rPr>
          <w:rFonts w:ascii="Times New Roman" w:hAnsi="Times New Roman"/>
          <w:b/>
          <w:i w:val="false"/>
          <w:color w:val="000000"/>
          <w:sz w:val="22"/>
        </w:rPr>
        <w:t>481—807.1</w:t>
      </w:r>
      <w:r>
        <w:rPr>
          <w:rFonts w:ascii="Times New Roman" w:hAnsi="Times New Roman"/>
          <w:b/>
          <w:i w:val="false"/>
          <w:color w:val="000000"/>
          <w:sz w:val="22"/>
        </w:rPr>
        <w:t xml:space="preserve">(148B)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physical and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“Discipline”</w:t>
      </w:r>
      <w:r>
        <w:rPr>
          <w:rFonts w:ascii="Times New Roman" w:hAnsi="Times New Roman"/>
          <w:b w:val="false"/>
          <w:i w:val="false"/>
          <w:color w:val="000000"/>
          <w:sz w:val="22"/>
        </w:rPr>
        <w:t> </w:t>
      </w:r>
      <w:r>
        <w:rPr>
          <w:rFonts w:ascii="Times New Roman" w:hAnsi="Times New Roman"/>
          <w:b w:val="false"/>
          <w:i w:val="false"/>
          <w:color w:val="000000"/>
          <w:sz w:val="22"/>
        </w:rPr>
        <w:t>means any sanction the board may impose upon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in Iowa pursuant to Iowa Code chapter </w:t>
      </w:r>
      <w:hyperlink r:id="rId5">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481—Chapters 804 through 808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7985C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481—807.2</w:t>
      </w:r>
      <w:r>
        <w:rPr>
          <w:rFonts w:ascii="Times New Roman" w:hAnsi="Times New Roman"/>
          <w:b/>
          <w:i w:val="false"/>
          <w:color w:val="000000"/>
          <w:sz w:val="22"/>
        </w:rPr>
        <w:t xml:space="preserve">(272C)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w:t>
      </w:r>
      <w:hyperlink r:id="rId7">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when the board determines that any of the acts or offenses listed in that chapter or in Iowa Code section </w:t>
      </w:r>
      <w:hyperlink r:id="rId8">
        <w:r>
          <w:rPr>
            <w:rStyle w:val="Hyperlink"/>
            <w:rFonts w:ascii="Times New Roman" w:hAnsi="Times New Roman"/>
            <w:b w:val="false"/>
            <w:i w:val="false"/>
            <w:color w:val="000000"/>
            <w:sz w:val="22"/>
          </w:rPr>
          <w:t>147.55</w:t>
        </w:r>
      </w:hyperlink>
      <w:r>
        <w:rPr>
          <w:rFonts w:ascii="Times New Roman" w:hAnsi="Times New Roman"/>
          <w:b w:val="false"/>
          <w:i w:val="false"/>
          <w:color w:val="000000"/>
          <w:sz w:val="22"/>
        </w:rPr>
        <w:t xml:space="preserve">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807.2(1)</w:t>
      </w:r>
      <w:r>
        <w:rPr>
          <w:rFonts w:ascii="Times New Roman" w:hAnsi="Times New Roman"/>
          <w:b w:val="false"/>
          <w:i w:val="false"/>
          <w:color w:val="000000"/>
          <w:sz w:val="22"/>
        </w:rPr>
        <w:t> </w:t>
      </w:r>
      <w:r>
        <w:rPr>
          <w:rFonts w:ascii="Times New Roman" w:hAnsi="Times New Roman"/>
          <w:b w:val="false"/>
          <w:i w:val="false"/>
          <w:color w:val="000000"/>
          <w:sz w:val="22"/>
        </w:rPr>
        <w:t>Professional incompetency. Professional incompetency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substantial lack of knowledge or ability to discharge professional obligations within the scope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substantial deviation from the standards of learning or skill ordinarily possessed and applied by other occupational therapists or occupational therapy assistants in the state of Iowa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failure to exercise the degree of care that is ordinarily exercised by the average occupational therapist or occupational therapy assistant acting in the same or similar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conform to the minimal standard of acceptable and prevailing practice of the licensed occupational therapist or licensed occupational therapy assistant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Mental or physical inability reasonably related to and adversely affecting the licensee’s ability to practice in a safe and competent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Being adjudged mentally incompetent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807.2(2)</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occupational therapy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807.2(3)</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Violation of a regulation, rule or law of this state, another state, or the United States that relates to the practice of occupational therapy, including but not limited to the code of ethics found in rule </w:t>
      </w:r>
      <w:hyperlink r:id="rId9">
        <w:r>
          <w:rPr>
            <w:rStyle w:val="Hyperlink"/>
            <w:rFonts w:ascii="Times New Roman" w:hAnsi="Times New Roman"/>
            <w:b w:val="false"/>
            <w:i w:val="false"/>
            <w:color w:val="000000"/>
            <w:sz w:val="22"/>
          </w:rPr>
          <w:t>481—806.1</w:t>
        </w:r>
      </w:hyperlink>
      <w:r>
        <w:rPr>
          <w:rFonts w:ascii="Times New Roman" w:hAnsi="Times New Roman"/>
          <w:b w:val="false"/>
          <w:i w:val="false"/>
          <w:color w:val="000000"/>
          <w:sz w:val="22"/>
        </w:rPr>
        <w:t>(148B,272C).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807.2(4)</w:t>
      </w:r>
      <w:r>
        <w:rPr>
          <w:rFonts w:ascii="Times New Roman" w:hAnsi="Times New Roman"/>
          <w:b w:val="false"/>
          <w:i w:val="false"/>
          <w:color w:val="000000"/>
          <w:sz w:val="22"/>
        </w:rPr>
        <w:t> </w:t>
      </w:r>
      <w:r>
        <w:rPr>
          <w:rFonts w:ascii="Times New Roman" w:hAnsi="Times New Roman"/>
          <w:b w:val="false"/>
          <w:i w:val="false"/>
          <w:color w:val="000000"/>
          <w:sz w:val="22"/>
        </w:rPr>
        <w:t>Failure of a licensee or an applicant for licensure in this state to report any voluntary agreements restricting the individual’s practice of occupational therapy in another state, district, territory or country.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807.2(5)</w:t>
      </w:r>
      <w:r>
        <w:rPr>
          <w:rFonts w:ascii="Times New Roman" w:hAnsi="Times New Roman"/>
          <w:b w:val="false"/>
          <w:i w:val="false"/>
          <w:color w:val="000000"/>
          <w:sz w:val="22"/>
        </w:rPr>
        <w:t> </w:t>
      </w:r>
      <w:r>
        <w:rPr>
          <w:rFonts w:ascii="Times New Roman" w:hAnsi="Times New Roman"/>
          <w:b w:val="false"/>
          <w:i w:val="false"/>
          <w:color w:val="000000"/>
          <w:sz w:val="22"/>
        </w:rPr>
        <w:t>Knowingly aiding, assisting or advising a person to unlawfully practice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807.2(6)</w:t>
      </w:r>
      <w:r>
        <w:rPr>
          <w:rFonts w:ascii="Times New Roman" w:hAnsi="Times New Roman"/>
          <w:b w:val="false"/>
          <w:i w:val="false"/>
          <w:color w:val="000000"/>
          <w:sz w:val="22"/>
        </w:rPr>
        <w:t> </w:t>
      </w:r>
      <w:r>
        <w:rPr>
          <w:rFonts w:ascii="Times New Roman" w:hAnsi="Times New Roman"/>
          <w:b w:val="false"/>
          <w:i w:val="false"/>
          <w:color w:val="000000"/>
          <w:sz w:val="22"/>
        </w:rPr>
        <w:t>Failure to report a change of name or address within 30 days after it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807.2(7)</w:t>
      </w:r>
      <w:r>
        <w:rPr>
          <w:rFonts w:ascii="Times New Roman" w:hAnsi="Times New Roman"/>
          <w:b w:val="false"/>
          <w:i w:val="false"/>
          <w:color w:val="000000"/>
          <w:sz w:val="22"/>
        </w:rPr>
        <w:t> </w:t>
      </w:r>
      <w:r>
        <w:rPr>
          <w:rFonts w:ascii="Times New Roman" w:hAnsi="Times New Roman"/>
          <w:b w:val="false"/>
          <w:i w:val="false"/>
          <w:color w:val="000000"/>
          <w:sz w:val="22"/>
        </w:rPr>
        <w:t>Representing oneself as a licensed occupational therapist or occupational therapy assistant when one’s license has been suspended or revoked, or when the license is on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807.2(8)</w:t>
      </w:r>
      <w:r>
        <w:rPr>
          <w:rFonts w:ascii="Times New Roman" w:hAnsi="Times New Roman"/>
          <w:b w:val="false"/>
          <w:i w:val="false"/>
          <w:color w:val="000000"/>
          <w:sz w:val="22"/>
        </w:rPr>
        <w:t> </w:t>
      </w:r>
      <w:r>
        <w:rPr>
          <w:rFonts w:ascii="Times New Roman" w:hAnsi="Times New Roman"/>
          <w:b w:val="false"/>
          <w:i w:val="false"/>
          <w:color w:val="000000"/>
          <w:sz w:val="22"/>
        </w:rPr>
        <w:t>Repeated failure to comply with standard precautions for preventing transmission of infectious diseases as issued by the Centers for Disease Control and Prevention of the United States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7985C</w:t>
      </w:r>
      <w:r>
        <w:rPr>
          <w:rFonts w:ascii="Times New Roman" w:hAnsi="Times New Roman"/>
          <w:b w:val="false"/>
          <w:i w:val="false"/>
          <w:color w:val="000000"/>
          <w:sz w:val="16"/>
        </w:rPr>
        <w:t>, IAB 5/15/24, effective 7/1/24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0">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2/14/02, Notice 10/3/01—published 3/6/02, effective 4/10/02]</w:t>
      </w:r>
    </w:p>
    <w:p>
      <w:pPr>
        <w:spacing w:before="0" w:after="0"/>
        <w:ind w:left="120"/>
        <w:jc w:val="center"/>
      </w:pPr>
      <w:r>
        <w:rPr>
          <w:rFonts w:ascii="Times New Roman" w:hAnsi="Times New Roman"/>
          <w:b w:val="false"/>
          <w:i w:val="false"/>
          <w:color w:val="000000"/>
          <w:sz w:val="21"/>
        </w:rPr>
        <w:t>[Filed 11/26/03, Notice 9/17/03—published 12/24/03, effective 1/28/04]</w:t>
      </w:r>
    </w:p>
    <w:p>
      <w:pPr>
        <w:spacing w:before="0" w:after="0"/>
        <w:ind w:left="120"/>
        <w:jc w:val="center"/>
      </w:pPr>
      <w:r>
        <w:rPr>
          <w:rFonts w:ascii="Times New Roman" w:hAnsi="Times New Roman"/>
          <w:b w:val="false"/>
          <w:i w:val="false"/>
          <w:color w:val="000000"/>
          <w:sz w:val="21"/>
        </w:rPr>
        <w:t>[Filed 8/22/05, Notice 6/22/05—published 9/14/05, effective 10/19/05]</w:t>
      </w:r>
    </w:p>
    <w:p>
      <w:pPr>
        <w:spacing w:before="0" w:after="0"/>
        <w:ind w:left="120"/>
        <w:jc w:val="center"/>
      </w:pPr>
      <w:r>
        <w:rPr>
          <w:rFonts w:ascii="Times New Roman" w:hAnsi="Times New Roman"/>
          <w:b w:val="false"/>
          <w:i w:val="false"/>
          <w:color w:val="000000"/>
          <w:sz w:val="21"/>
        </w:rPr>
        <w:t>[Filed 11/19/05, Notice 9/14/05—published 12/21/05, effective 1/25/06]</w:t>
      </w:r>
    </w:p>
    <w:p>
      <w:pPr>
        <w:spacing w:before="0" w:after="0"/>
        <w:ind w:left="120"/>
        <w:jc w:val="center"/>
      </w:pPr>
      <w:r>
        <w:rPr>
          <w:rFonts w:ascii="Times New Roman" w:hAnsi="Times New Roman"/>
          <w:b w:val="false"/>
          <w:i w:val="false"/>
          <w:color w:val="000000"/>
          <w:sz w:val="21"/>
        </w:rPr>
        <w:t>[Filed 2/17/06, Notice 12/21/05—published 3/15/06, effective 4/19/06]</w:t>
      </w:r>
    </w:p>
    <w:p>
      <w:pPr>
        <w:spacing w:before="0" w:after="0"/>
        <w:ind w:left="120"/>
        <w:jc w:val="center"/>
      </w:pPr>
      <w:r>
        <w:rPr>
          <w:rFonts w:ascii="Times New Roman" w:hAnsi="Times New Roman"/>
          <w:b w:val="false"/>
          <w:i w:val="false"/>
          <w:color w:val="000000"/>
          <w:sz w:val="21"/>
        </w:rPr>
        <w:t>[Filed 11/30/07, Notice 9/26/07—published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11/26/08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9328B</w:t>
      </w:r>
      <w:r>
        <w:rPr>
          <w:rFonts w:ascii="Times New Roman" w:hAnsi="Times New Roman"/>
          <w:b w:val="false"/>
          <w:i w:val="false"/>
          <w:color w:val="000000"/>
          <w:sz w:val="21"/>
        </w:rPr>
        <w:t xml:space="preserve"> (Notice ARC 9156B, IAB 10/20/10)</w:t>
      </w:r>
      <w:r>
        <w:rPr>
          <w:rFonts w:ascii="Times New Roman" w:hAnsi="Times New Roman"/>
          <w:b w:val="false"/>
          <w:i w:val="false"/>
          <w:color w:val="000000"/>
          <w:sz w:val="21"/>
        </w:rPr>
        <w:t>, IAB 1/12/11, effective 2/16/11]</w:t>
      </w:r>
    </w:p>
    <w:p>
      <w:pPr>
        <w:spacing w:before="0" w:after="0"/>
        <w:ind w:left="120"/>
        <w:jc w:val="center"/>
      </w:pPr>
      <w:r>
        <w:rPr>
          <w:rFonts w:ascii="Times New Roman" w:hAnsi="Times New Roman"/>
          <w:b w:val="false"/>
          <w:i w:val="false"/>
          <w:color w:val="000000"/>
          <w:sz w:val="21"/>
        </w:rPr>
        <w:t>[Filed ARC 0223C</w:t>
      </w:r>
      <w:r>
        <w:rPr>
          <w:rFonts w:ascii="Times New Roman" w:hAnsi="Times New Roman"/>
          <w:b w:val="false"/>
          <w:i w:val="false"/>
          <w:color w:val="000000"/>
          <w:sz w:val="21"/>
        </w:rPr>
        <w:t xml:space="preserve"> (Notice ARC 0134C, IAB 5/30/12)</w:t>
      </w:r>
      <w:r>
        <w:rPr>
          <w:rFonts w:ascii="Times New Roman" w:hAnsi="Times New Roman"/>
          <w:b w:val="false"/>
          <w:i w:val="false"/>
          <w:color w:val="000000"/>
          <w:sz w:val="21"/>
        </w:rPr>
        <w:t>, IAB 7/25/12, effective 8/29/12]</w:t>
      </w:r>
    </w:p>
    <w:p>
      <w:pPr>
        <w:spacing w:before="0" w:after="0"/>
        <w:ind w:left="120"/>
        <w:jc w:val="center"/>
      </w:pPr>
      <w:r>
        <w:rPr>
          <w:rFonts w:ascii="Times New Roman" w:hAnsi="Times New Roman"/>
          <w:b w:val="false"/>
          <w:i w:val="false"/>
          <w:color w:val="000000"/>
          <w:sz w:val="21"/>
        </w:rPr>
        <w:t>[Filed ARC 5758C</w:t>
      </w:r>
      <w:r>
        <w:rPr>
          <w:rFonts w:ascii="Times New Roman" w:hAnsi="Times New Roman"/>
          <w:b w:val="false"/>
          <w:i w:val="false"/>
          <w:color w:val="000000"/>
          <w:sz w:val="21"/>
        </w:rPr>
        <w:t xml:space="preserve"> (Notice ARC 5456C,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7985C</w:t>
      </w:r>
      <w:r>
        <w:rPr>
          <w:rFonts w:ascii="Times New Roman" w:hAnsi="Times New Roman"/>
          <w:b w:val="false"/>
          <w:i w:val="false"/>
          <w:color w:val="000000"/>
          <w:sz w:val="21"/>
        </w:rPr>
        <w:t xml:space="preserve"> (Notice ARC 7552C, IAB 1/24/24)</w:t>
      </w:r>
      <w:r>
        <w:rPr>
          <w:rFonts w:ascii="Times New Roman" w:hAnsi="Times New Roman"/>
          <w:b w:val="false"/>
          <w:i w:val="false"/>
          <w:color w:val="000000"/>
          <w:sz w:val="21"/>
        </w:rPr>
        <w:t>, IAB 5/15/24, effective 7/1/24]</w:t>
      </w:r>
    </w:p>
    <w:p>
      <w:pPr>
        <w:spacing w:before="0" w:after="0"/>
        <w:ind w:left="120"/>
        <w:jc w:val="center"/>
      </w:pPr>
      <w:r>
        <w:rPr>
          <w:rFonts w:ascii="Times New Roman" w:hAnsi="Times New Roman"/>
          <w:b w:val="false"/>
          <w:i w:val="false"/>
          <w:color w:val="000000"/>
          <w:sz w:val="21"/>
        </w:rPr>
        <w:t>[Editorial change: IAC Supplement 9/18/24]</w:t>
      </w:r>
    </w:p>
    <w:sectPr>
      <w:footerReference r:id="rId13"/>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8A.pdf" Type="http://schemas.openxmlformats.org/officeDocument/2006/relationships/hyperlink" Id="rId5"/>
    <Relationship TargetMode="External" Target="https://www.legis.iowa.gov/docs/iac/chapter/481.804.pdf" Type="http://schemas.openxmlformats.org/officeDocument/2006/relationships/hyperlink" Id="rId6"/>
    <Relationship TargetMode="External" Target="https://www.legis.iowa.gov/docs/iac/chapter/481.504.pdf" Type="http://schemas.openxmlformats.org/officeDocument/2006/relationships/hyperlink" Id="rId7"/>
    <Relationship TargetMode="External" Target="https://www.legis.iowa.gov/docs/ico/chapter/147.55.pdf" Type="http://schemas.openxmlformats.org/officeDocument/2006/relationships/hyperlink" Id="rId8"/>
    <Relationship TargetMode="External" Target="https://www.legis.iowa.gov/docs/iac/rule/481.806.1.pdf" Type="http://schemas.openxmlformats.org/officeDocument/2006/relationships/hyperlink" Id="rId9"/>
    <Relationship TargetMode="External" Target="https://www.legis.iowa.gov/docs/ico/chapter/147.pdf" Type="http://schemas.openxmlformats.org/officeDocument/2006/relationships/hyperlink" Id="rId10"/>
    <Relationship TargetMode="External" Target="https://www.legis.iowa.gov/docs/ico/chapter/148B.pdf" Type="http://schemas.openxmlformats.org/officeDocument/2006/relationships/hyperlink" Id="rId11"/>
    <Relationship TargetMode="External" Target="https://www.legis.iowa.gov/docs/ico/chapter/272C.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