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803</w:t>
      </w:r>
    </w:p>
    <w:p>
      <w:pPr>
        <w:spacing w:before="0" w:after="0"/>
        <w:ind w:left="120"/>
        <w:jc w:val="center"/>
      </w:pPr>
      <w:r>
        <w:rPr>
          <w:rFonts w:ascii="Times New Roman" w:hAnsi="Times New Roman"/>
          <w:b w:val="false"/>
          <w:i w:val="false"/>
          <w:color w:val="000000"/>
          <w:sz w:val="21"/>
        </w:rPr>
        <w:t>CONTINUING EDUCATION FOR PHYSICAL THERAPISTS</w:t>
      </w:r>
      <w:r>
        <w:br/>
      </w:r>
      <w:r>
        <w:rPr>
          <w:rFonts w:ascii="Times New Roman" w:hAnsi="Times New Roman"/>
          <w:b w:val="false"/>
          <w:i w:val="false"/>
          <w:color w:val="000000"/>
          <w:sz w:val="21"/>
        </w:rPr>
        <w:t>AND PHYSICAL THERAPIST ASSISTANTS</w:t>
      </w:r>
    </w:p>
    <w:p>
      <w:pPr>
        <w:spacing w:before="0" w:after="0"/>
        <w:ind w:left="120"/>
        <w:jc w:val="center"/>
      </w:pPr>
      <w:r>
        <w:rPr>
          <w:rFonts w:ascii="Times New Roman" w:hAnsi="Times New Roman"/>
          <w:b w:val="false"/>
          <w:i w:val="false"/>
          <w:color w:val="000000"/>
          <w:sz w:val="20"/>
        </w:rPr>
        <w:t>[Prior to 9/18/24, see Professional Licensure Division[645] Ch 203]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481—803.1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study”</w:t>
      </w:r>
      <w:r>
        <w:rPr>
          <w:rFonts w:ascii="Times New Roman" w:hAnsi="Times New Roman"/>
          <w:b w:val="false"/>
          <w:i w:val="false"/>
          <w:color w:val="000000"/>
          <w:sz w:val="22"/>
        </w:rPr>
        <w:t> </w:t>
      </w:r>
      <w:r>
        <w:rPr>
          <w:rFonts w:ascii="Times New Roman" w:hAnsi="Times New Roman"/>
          <w:b w:val="false"/>
          <w:i w:val="false"/>
          <w:color w:val="000000"/>
          <w:sz w:val="22"/>
        </w:rPr>
        <w:t>means a subject/program/activity that a person pursues autonomously and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physical therapist or physical therapist assistant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481—803.2</w:t>
      </w:r>
      <w:r>
        <w:rPr>
          <w:rFonts w:ascii="Times New Roman" w:hAnsi="Times New Roman"/>
          <w:b/>
          <w:i w:val="false"/>
          <w:color w:val="000000"/>
          <w:sz w:val="22"/>
        </w:rPr>
        <w:t xml:space="preserve">(148A)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shall extend for a two-year period that begins on the sixteenth day of the birth month and ends two years later on the fifteenth day of the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Requirements for physical therapist licensees. Each biennium, each person who is licensed to practice as a physical therapist in this state will be required to complete a minimum of 40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for physical therapist assistant licensees. Each biennium, each person who is licensed to practice as a physical therapist assistant in this state will be required to complete a minimum of 20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The new licensee will be required to complete a minimum of 40 hours of continuing education per biennium for physical therapists and a minimum of 20 hours for physical therapist assistants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803.2(3)</w:t>
      </w:r>
      <w:r>
        <w:rPr>
          <w:rFonts w:ascii="Times New Roman" w:hAnsi="Times New Roman"/>
          <w:b w:val="false"/>
          <w:i w:val="false"/>
          <w:color w:val="000000"/>
          <w:sz w:val="22"/>
        </w:rPr>
        <w:t> </w:t>
      </w:r>
      <w:r>
        <w:rPr>
          <w:rFonts w:ascii="Times New Roman" w:hAnsi="Times New Roman"/>
          <w:b w:val="false"/>
          <w:i w:val="false"/>
          <w:color w:val="000000"/>
          <w:sz w:val="22"/>
        </w:rPr>
        <w:t>Licensees who complete continuing education hours in excess of the requirements for renewal may apply up to 50 percent of the required hours to the following renewal period. Physical therapist licensees may apply a maximum of 20 hours from the previous renewal period. Physical therapist assistant licensees may apply a maximum of ten hours from the previous renewal period. 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9398C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481—803.3</w:t>
      </w:r>
      <w:r>
        <w:rPr>
          <w:rFonts w:ascii="Times New Roman" w:hAnsi="Times New Roman"/>
          <w:b/>
          <w:i w:val="false"/>
          <w:color w:val="000000"/>
          <w:sz w:val="22"/>
        </w:rPr>
        <w:t xml:space="preserve">(148A,272C)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Appropriate continuing education activity for purposes of license renewal will support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Attending workshops,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Accessing online training, such as viewing interactive conferences, attending webinars, or completing online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Completing an American Physical Therapy Association-approved postprofessional clinical residency or fellowship. A licensee will receive 1 hour of credit for every 2 hours spent in clinical residency, up to a maximum of 20 hours. Clinical residency hours may not be used for credit if the licensee is also seeking credit hours earned for postprofessional academic coursework in the same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Directly supervising students for clinical education if the students being supervised are from an accredited physical therapist or physical therapist assistant program and are participating in a full-time clinical experience (defined as approximately 40 hours per week, ranging from 1 to 18 weeks). One hour will be awarded for every 160 contact hours of supervision. A maximum of 8 hours for a physical therapist and 4 hours for a physical therapist assistant may be awarded per biennium. The physical therapist or physical therapist assistant must have documentation from the accredited educational program indicating the number of hours spent supervising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listed in this rule. Two hours of credit will be awarded for each hour of presentation for the first offering of the course. A course schedule or brochure must be maintained for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courses that directly relate to the professional competency of the licensee. Official transcripts indicating successful completion of academic courses that apply to the field of physical therapy will be necessary in order for the licensee to receive the following continuing education credits:</w:t>
      </w:r>
    </w:p>
    <w:p>
      <w:pPr>
        <w:spacing w:before="0" w:after="0"/>
        <w:ind w:left="120"/>
        <w:jc w:val="both"/>
      </w:pPr>
      <w:r>
        <w:rPr>
          <w:rFonts w:ascii="Times New Roman" w:hAnsi="Times New Roman"/>
          <w:b w:val="false"/>
          <w:i w:val="false"/>
          <w:color w:val="000000"/>
          <w:sz w:val="22"/>
        </w:rPr>
        <w:t>1 academic semester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15 continuing education hours of credit</w:t>
      </w:r>
    </w:p>
    <w:p>
      <w:pPr>
        <w:spacing w:before="0" w:after="0"/>
        <w:ind w:left="120"/>
        <w:jc w:val="both"/>
      </w:pPr>
      <w:r>
        <w:rPr>
          <w:rFonts w:ascii="Times New Roman" w:hAnsi="Times New Roman"/>
          <w:b w:val="false"/>
          <w:i w:val="false"/>
          <w:color w:val="000000"/>
          <w:sz w:val="22"/>
        </w:rPr>
        <w:t>1 academic trimester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 continuing education hours of credit</w:t>
      </w:r>
    </w:p>
    <w:p>
      <w:pPr>
        <w:spacing w:before="0" w:after="0"/>
        <w:ind w:left="120"/>
        <w:jc w:val="both"/>
      </w:pPr>
      <w:r>
        <w:rPr>
          <w:rFonts w:ascii="Times New Roman" w:hAnsi="Times New Roman"/>
          <w:b w:val="false"/>
          <w:i w:val="false"/>
          <w:color w:val="000000"/>
          <w:sz w:val="22"/>
        </w:rPr>
        <w:t>1 academic quarter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10 continuing education hours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Teaching in an approved college, university, or graduate school. The licensee may receive the following continuing education credits on a one-time basis for the first offering of a course:</w:t>
      </w:r>
    </w:p>
    <w:p>
      <w:pPr>
        <w:spacing w:before="0" w:after="0"/>
        <w:ind w:left="120"/>
        <w:jc w:val="both"/>
      </w:pPr>
      <w:r>
        <w:rPr>
          <w:rFonts w:ascii="Times New Roman" w:hAnsi="Times New Roman"/>
          <w:b w:val="false"/>
          <w:i w:val="false"/>
          <w:color w:val="000000"/>
          <w:sz w:val="22"/>
        </w:rPr>
        <w:t>1 academic semester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15 continuing education hours of credit</w:t>
      </w:r>
    </w:p>
    <w:p>
      <w:pPr>
        <w:spacing w:before="0" w:after="0"/>
        <w:ind w:left="120"/>
        <w:jc w:val="both"/>
      </w:pPr>
      <w:r>
        <w:rPr>
          <w:rFonts w:ascii="Times New Roman" w:hAnsi="Times New Roman"/>
          <w:b w:val="false"/>
          <w:i w:val="false"/>
          <w:color w:val="000000"/>
          <w:sz w:val="22"/>
        </w:rPr>
        <w:t>1 academic trimester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 continuing education hours of credit</w:t>
      </w:r>
    </w:p>
    <w:p>
      <w:pPr>
        <w:spacing w:before="0" w:after="0"/>
        <w:ind w:left="120"/>
        <w:jc w:val="both"/>
      </w:pPr>
      <w:r>
        <w:rPr>
          <w:rFonts w:ascii="Times New Roman" w:hAnsi="Times New Roman"/>
          <w:b w:val="false"/>
          <w:i w:val="false"/>
          <w:color w:val="000000"/>
          <w:sz w:val="22"/>
        </w:rPr>
        <w:t>1 academic quarter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10 continuing education hours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Authoring research or other activities, the results of which are published in a recognized professional publication. The licensee shall receive five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Participating in professional organizations related to the practice of physical therapy, with one credit hour received for each six months of active service as an officer, delegate, or committee member, for a maximum of four hours of credit per biennium. Verification of participation must be provided by the professional organization to document the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in the following topics are not considered to be directly and primarily related to the clinical application of physical therapy and therefore must not exceed a maximum combined total of ten hours of credit for a physical therapist licensee and five hours of credit for a physical therapist assistant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Business-related topics, such as marketing, time management, government regulations,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skills topics, such as career burnout, communication skills, human relations,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General health topics, such as clinical research, CPR, mandatory reporter training, and other like topics.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11/9/00, Notice 7/26/00—published 11/29/00, effective 1/3/01]</w:t>
      </w:r>
    </w:p>
    <w:p>
      <w:pPr>
        <w:spacing w:before="0" w:after="0"/>
        <w:ind w:left="120"/>
        <w:jc w:val="center"/>
      </w:pPr>
      <w:r>
        <w:rPr>
          <w:rFonts w:ascii="Times New Roman" w:hAnsi="Times New Roman"/>
          <w:b w:val="false"/>
          <w:i w:val="false"/>
          <w:color w:val="000000"/>
          <w:sz w:val="21"/>
        </w:rPr>
        <w:t>[Filed 2/13/02, Notice 10/3/01—published 3/6/02, effective 4/10/02]</w:t>
      </w:r>
    </w:p>
    <w:p>
      <w:pPr>
        <w:spacing w:before="0" w:after="0"/>
        <w:ind w:left="120"/>
        <w:jc w:val="center"/>
      </w:pPr>
      <w:r>
        <w:rPr>
          <w:rFonts w:ascii="Times New Roman" w:hAnsi="Times New Roman"/>
          <w:b w:val="false"/>
          <w:i w:val="false"/>
          <w:color w:val="000000"/>
          <w:sz w:val="21"/>
        </w:rPr>
        <w:t>[Filed 8/22/05, Notice 6/22/05—published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1659C</w:t>
      </w:r>
      <w:r>
        <w:rPr>
          <w:rFonts w:ascii="Times New Roman" w:hAnsi="Times New Roman"/>
          <w:b w:val="false"/>
          <w:i w:val="false"/>
          <w:color w:val="000000"/>
          <w:sz w:val="21"/>
        </w:rPr>
        <w:t xml:space="preserve"> (Notice ARC 1559C, IAB 7/23/14)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3876C</w:t>
      </w:r>
      <w:r>
        <w:rPr>
          <w:rFonts w:ascii="Times New Roman" w:hAnsi="Times New Roman"/>
          <w:b w:val="false"/>
          <w:i w:val="false"/>
          <w:color w:val="000000"/>
          <w:sz w:val="21"/>
        </w:rPr>
        <w:t xml:space="preserve"> (Notice ARC 3762C,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6985C</w:t>
      </w:r>
      <w:r>
        <w:rPr>
          <w:rFonts w:ascii="Times New Roman" w:hAnsi="Times New Roman"/>
          <w:b w:val="false"/>
          <w:i w:val="false"/>
          <w:color w:val="000000"/>
          <w:sz w:val="21"/>
        </w:rPr>
        <w:t xml:space="preserve"> (Notice ARC 6661C,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7981C</w:t>
      </w:r>
      <w:r>
        <w:rPr>
          <w:rFonts w:ascii="Times New Roman" w:hAnsi="Times New Roman"/>
          <w:b w:val="false"/>
          <w:i w:val="false"/>
          <w:color w:val="000000"/>
          <w:sz w:val="21"/>
        </w:rPr>
        <w:t xml:space="preserve"> (Notice ARC 7548C,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9398C</w:t>
      </w:r>
      <w:r>
        <w:rPr>
          <w:rFonts w:ascii="Times New Roman" w:hAnsi="Times New Roman"/>
          <w:b w:val="false"/>
          <w:i w:val="false"/>
          <w:color w:val="000000"/>
          <w:sz w:val="21"/>
        </w:rPr>
        <w:t xml:space="preserve"> (Notice ARC 8862C, IAB 2/19/25)</w:t>
      </w:r>
      <w:r>
        <w:rPr>
          <w:rFonts w:ascii="Times New Roman" w:hAnsi="Times New Roman"/>
          <w:b w:val="false"/>
          <w:i w:val="false"/>
          <w:color w:val="000000"/>
          <w:sz w:val="21"/>
        </w:rPr>
        <w:t>, IAB 7/9/25, effective 8/13/25]</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48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