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pBdr>
          <w:bottom w:space="3"/>
        </w:pBdr>
        <w:spacing w:before="0" w:after="0"/>
        <w:ind w:left="120"/>
        <w:jc w:val="center"/>
      </w:pPr>
      <w:r>
        <w:rPr>
          <w:rFonts w:ascii="Times New Roman" w:hAnsi="Times New Roman"/>
          <w:b w:val="false"/>
          <w:i w:val="false"/>
          <w:color w:val="000000"/>
          <w:sz w:val="16"/>
        </w:rPr>
        <w:t xml:space="preserve"> </w:t>
      </w:r>
      <w:r>
        <w:rPr>
          <w:rFonts w:ascii="Times New Roman" w:hAnsi="Times New Roman"/>
          <w:b w:val="false"/>
          <w:i/>
          <w:color w:val="000000"/>
          <w:sz w:val="16"/>
        </w:rPr>
        <w:t>BOARD OF PHYSICIAN ASSOCIATES</w:t>
      </w:r>
      <w:r>
        <w:rPr>
          <w:rFonts w:ascii="Times New Roman" w:hAnsi="Times New Roman"/>
          <w:b w:val="false"/>
          <w:i w:val="false"/>
          <w:color w:val="000000"/>
          <w:sz w:val="16"/>
        </w:rPr>
        <w:t xml:space="preserve"> </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780</w:t>
      </w:r>
    </w:p>
    <w:p>
      <w:pPr>
        <w:spacing w:before="0" w:after="0"/>
        <w:ind w:left="120"/>
        <w:jc w:val="center"/>
      </w:pPr>
      <w:r>
        <w:rPr>
          <w:rFonts w:ascii="Times New Roman" w:hAnsi="Times New Roman"/>
          <w:b w:val="false"/>
          <w:i w:val="false"/>
          <w:color w:val="000000"/>
          <w:sz w:val="21"/>
        </w:rPr>
        <w:t>LICENSURE OF PHYSICIAN ASSOCIATES</w:t>
      </w:r>
    </w:p>
    <w:p>
      <w:pPr>
        <w:spacing w:before="0" w:after="0"/>
        <w:ind w:left="120"/>
        <w:jc w:val="center"/>
      </w:pPr>
      <w:r>
        <w:rPr>
          <w:rFonts w:ascii="Times New Roman" w:hAnsi="Times New Roman"/>
          <w:b w:val="false"/>
          <w:i w:val="false"/>
          <w:color w:val="000000"/>
          <w:sz w:val="20"/>
        </w:rPr>
        <w:t>[Prior to 8/7/02, see 645—325.2(148C) to 645—325.5(148C) and 645—325.16(148C)]</w:t>
      </w:r>
    </w:p>
    <w:p>
      <w:pPr>
        <w:spacing w:before="0" w:after="0"/>
        <w:ind w:left="120"/>
        <w:jc w:val="center"/>
      </w:pPr>
      <w:r>
        <w:rPr>
          <w:rFonts w:ascii="Times New Roman" w:hAnsi="Times New Roman"/>
          <w:b w:val="false"/>
          <w:i w:val="false"/>
          <w:color w:val="000000"/>
          <w:sz w:val="20"/>
        </w:rPr>
        <w:t>[Prior to 9/18/24, see Professional Licensure Division[645] Ch 326]</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10/8/30</w:t>
      </w:r>
    </w:p>
    <w:p>
      <w:pPr>
        <w:spacing w:before="0" w:after="0"/>
        <w:ind w:left="120"/>
        <w:jc w:val="both"/>
      </w:pPr>
      <w:r>
        <w:rPr>
          <w:rFonts w:ascii="Times New Roman" w:hAnsi="Times New Roman"/>
          <w:b/>
          <w:i w:val="false"/>
          <w:color w:val="000000"/>
          <w:sz w:val="22"/>
        </w:rPr>
        <w:t>481—780.1</w:t>
      </w:r>
      <w:r>
        <w:rPr>
          <w:rFonts w:ascii="Times New Roman" w:hAnsi="Times New Roman"/>
          <w:b/>
          <w:i w:val="false"/>
          <w:color w:val="000000"/>
          <w:sz w:val="22"/>
        </w:rPr>
        <w:t xml:space="preserve">(148C)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In addition to the definitions herein, and unless otherwise stated, the board adopts by reference the definitions found in Iowa Code section </w:t>
      </w:r>
      <w:hyperlink r:id="rId5">
        <w:r>
          <w:rPr>
            <w:rStyle w:val="Hyperlink"/>
            <w:rFonts w:ascii="Times New Roman" w:hAnsi="Times New Roman"/>
            <w:b w:val="false"/>
            <w:i w:val="false"/>
            <w:color w:val="000000"/>
            <w:sz w:val="22"/>
          </w:rPr>
          <w:t>148C.1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“Active license”</w:t>
      </w:r>
      <w:r>
        <w:rPr>
          <w:rFonts w:ascii="Times New Roman" w:hAnsi="Times New Roman"/>
          <w:b w:val="false"/>
          <w:i w:val="false"/>
          <w:color w:val="000000"/>
          <w:sz w:val="22"/>
        </w:rPr>
        <w:t> </w:t>
      </w:r>
      <w:r>
        <w:rPr>
          <w:rFonts w:ascii="Times New Roman" w:hAnsi="Times New Roman"/>
          <w:b w:val="false"/>
          <w:i w:val="false"/>
          <w:color w:val="000000"/>
          <w:sz w:val="22"/>
        </w:rPr>
        <w:t>means a license that is current and has not expired.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“Approved program”</w:t>
      </w:r>
      <w:r>
        <w:rPr>
          <w:rFonts w:ascii="Times New Roman" w:hAnsi="Times New Roman"/>
          <w:b w:val="false"/>
          <w:i w:val="false"/>
          <w:color w:val="000000"/>
          <w:sz w:val="22"/>
        </w:rPr>
        <w:t> </w:t>
      </w:r>
      <w:r>
        <w:rPr>
          <w:rFonts w:ascii="Times New Roman" w:hAnsi="Times New Roman"/>
          <w:b w:val="false"/>
          <w:i w:val="false"/>
          <w:color w:val="000000"/>
          <w:sz w:val="22"/>
        </w:rPr>
        <w:t>means a program for the education of physician associates that has been accredited by the Accreditation Review Commission on Education for the Physician Assistant, or its successor, or, if accredited prior to 2001, either by the Committee on Allied Health Education and Accreditation or the Commission on Accreditation of Allied Health Education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“CME”</w:t>
      </w:r>
      <w:r>
        <w:rPr>
          <w:rFonts w:ascii="Times New Roman" w:hAnsi="Times New Roman"/>
          <w:b w:val="false"/>
          <w:i w:val="false"/>
          <w:color w:val="000000"/>
          <w:sz w:val="22"/>
        </w:rPr>
        <w:t> </w:t>
      </w:r>
      <w:r>
        <w:rPr>
          <w:rFonts w:ascii="Times New Roman" w:hAnsi="Times New Roman"/>
          <w:b w:val="false"/>
          <w:i w:val="false"/>
          <w:color w:val="000000"/>
          <w:sz w:val="22"/>
        </w:rPr>
        <w:t>means continuing medical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“Collaboration”</w:t>
      </w:r>
      <w:r>
        <w:rPr>
          <w:rFonts w:ascii="Times New Roman" w:hAnsi="Times New Roman"/>
          <w:b w:val="false"/>
          <w:i w:val="false"/>
          <w:color w:val="000000"/>
          <w:sz w:val="22"/>
        </w:rPr>
        <w:t> </w:t>
      </w:r>
      <w:r>
        <w:rPr>
          <w:rFonts w:ascii="Times New Roman" w:hAnsi="Times New Roman"/>
          <w:b w:val="false"/>
          <w:i w:val="false"/>
          <w:color w:val="000000"/>
          <w:sz w:val="22"/>
        </w:rPr>
        <w:t>means consultation with or referral to the appropriate physician or other health care professional by a physician associate as indicated by the patient’s condition; the education, competencies, and experience of the physician associate; and the best practice guidelines.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“Direction”</w:t>
      </w:r>
      <w:r>
        <w:rPr>
          <w:rFonts w:ascii="Times New Roman" w:hAnsi="Times New Roman"/>
          <w:b w:val="false"/>
          <w:i w:val="false"/>
          <w:color w:val="000000"/>
          <w:sz w:val="22"/>
        </w:rPr>
        <w:t> </w:t>
      </w:r>
      <w:r>
        <w:rPr>
          <w:rFonts w:ascii="Times New Roman" w:hAnsi="Times New Roman"/>
          <w:b w:val="false"/>
          <w:i w:val="false"/>
          <w:color w:val="000000"/>
          <w:sz w:val="22"/>
        </w:rPr>
        <w:t>means authoritative policy or procedural guidance for the accomplishment of a function or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“Grace period”</w:t>
      </w:r>
      <w:r>
        <w:rPr>
          <w:rFonts w:ascii="Times New Roman" w:hAnsi="Times New Roman"/>
          <w:b w:val="false"/>
          <w:i w:val="false"/>
          <w:color w:val="000000"/>
          <w:sz w:val="22"/>
        </w:rPr>
        <w:t> </w:t>
      </w:r>
      <w:r>
        <w:rPr>
          <w:rFonts w:ascii="Times New Roman" w:hAnsi="Times New Roman"/>
          <w:b w:val="false"/>
          <w:i w:val="false"/>
          <w:color w:val="000000"/>
          <w:sz w:val="22"/>
        </w:rPr>
        <w:t>means the 30-day period following expiration of a license when the license is still considered to be active. In order to renew a license during the grace period, a licensee is required to pay a late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“HIPAA”</w:t>
      </w:r>
      <w:r>
        <w:rPr>
          <w:rFonts w:ascii="Times New Roman" w:hAnsi="Times New Roman"/>
          <w:b w:val="false"/>
          <w:i w:val="false"/>
          <w:color w:val="000000"/>
          <w:sz w:val="22"/>
        </w:rPr>
        <w:t> </w:t>
      </w:r>
      <w:r>
        <w:rPr>
          <w:rFonts w:ascii="Times New Roman" w:hAnsi="Times New Roman"/>
          <w:b w:val="false"/>
          <w:i w:val="false"/>
          <w:color w:val="000000"/>
          <w:sz w:val="22"/>
        </w:rPr>
        <w:t>means the Health Insurance Portability and Accountability Act of 1996, PL 104-191, August 21, 1996, 110 Stat 1936.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“Inactive license”</w:t>
      </w:r>
      <w:r>
        <w:rPr>
          <w:rFonts w:ascii="Times New Roman" w:hAnsi="Times New Roman"/>
          <w:b w:val="false"/>
          <w:i w:val="false"/>
          <w:color w:val="000000"/>
          <w:sz w:val="22"/>
        </w:rPr>
        <w:t> </w:t>
      </w:r>
      <w:r>
        <w:rPr>
          <w:rFonts w:ascii="Times New Roman" w:hAnsi="Times New Roman"/>
          <w:b w:val="false"/>
          <w:i w:val="false"/>
          <w:color w:val="000000"/>
          <w:sz w:val="22"/>
        </w:rPr>
        <w:t>means a license that has expired because it was not renewed by the end of the grace period. The category of “inactive license” may include licenses formerly known as lapsed, inactive, delinquent, closed, or retired.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“Licensee”</w:t>
      </w:r>
      <w:r>
        <w:rPr>
          <w:rFonts w:ascii="Times New Roman" w:hAnsi="Times New Roman"/>
          <w:b w:val="false"/>
          <w:i w:val="false"/>
          <w:color w:val="000000"/>
          <w:sz w:val="22"/>
        </w:rPr>
        <w:t> </w:t>
      </w:r>
      <w:r>
        <w:rPr>
          <w:rFonts w:ascii="Times New Roman" w:hAnsi="Times New Roman"/>
          <w:b w:val="false"/>
          <w:i w:val="false"/>
          <w:color w:val="000000"/>
          <w:sz w:val="22"/>
        </w:rPr>
        <w:t>means a person licensed by the board as a physician associate.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“Licensure by endorsement”</w:t>
      </w:r>
      <w:r>
        <w:rPr>
          <w:rFonts w:ascii="Times New Roman" w:hAnsi="Times New Roman"/>
          <w:b w:val="false"/>
          <w:i w:val="false"/>
          <w:color w:val="000000"/>
          <w:sz w:val="22"/>
        </w:rPr>
        <w:t> </w:t>
      </w:r>
      <w:r>
        <w:rPr>
          <w:rFonts w:ascii="Times New Roman" w:hAnsi="Times New Roman"/>
          <w:b w:val="false"/>
          <w:i w:val="false"/>
          <w:color w:val="000000"/>
          <w:sz w:val="22"/>
        </w:rPr>
        <w:t>means the issuance of an Iowa license to practice as a physician associate to an applicant who is or has been licensed in another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“Locum tenens”</w:t>
      </w:r>
      <w:r>
        <w:rPr>
          <w:rFonts w:ascii="Times New Roman" w:hAnsi="Times New Roman"/>
          <w:b w:val="false"/>
          <w:i w:val="false"/>
          <w:color w:val="000000"/>
          <w:sz w:val="22"/>
        </w:rPr>
        <w:t> </w:t>
      </w:r>
      <w:r>
        <w:rPr>
          <w:rFonts w:ascii="Times New Roman" w:hAnsi="Times New Roman"/>
          <w:b w:val="false"/>
          <w:i w:val="false"/>
          <w:color w:val="000000"/>
          <w:sz w:val="22"/>
        </w:rPr>
        <w:t>means the temporary substitution of one licensed physician associate for another.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“Mandatory training”</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training on identifying and reporting child abuse or dependent adult abuse required of physician associates who are mandatory reporters. The full requirements on mandatory reporting of child abuse and the training requirements are found in Iowa Code section </w:t>
      </w:r>
      <w:hyperlink r:id="rId6">
        <w:r>
          <w:rPr>
            <w:rStyle w:val="Hyperlink"/>
            <w:rFonts w:ascii="Times New Roman" w:hAnsi="Times New Roman"/>
            <w:b w:val="false"/>
            <w:i w:val="false"/>
            <w:color w:val="000000"/>
            <w:sz w:val="22"/>
          </w:rPr>
          <w:t>232.69</w:t>
        </w:r>
      </w:hyperlink>
      <w:r>
        <w:rPr>
          <w:rFonts w:ascii="Times New Roman" w:hAnsi="Times New Roman"/>
          <w:b w:val="false"/>
          <w:i w:val="false"/>
          <w:color w:val="000000"/>
          <w:sz w:val="22"/>
        </w:rPr>
        <w:t xml:space="preserve">. The full requirements on mandatory reporting of dependent adult abuse and the training requirements are found in Iowa Code section </w:t>
      </w:r>
      <w:hyperlink r:id="rId7">
        <w:r>
          <w:rPr>
            <w:rStyle w:val="Hyperlink"/>
            <w:rFonts w:ascii="Times New Roman" w:hAnsi="Times New Roman"/>
            <w:b w:val="false"/>
            <w:i w:val="false"/>
            <w:color w:val="000000"/>
            <w:sz w:val="22"/>
          </w:rPr>
          <w:t>235B.16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“NCCPA”</w:t>
      </w:r>
      <w:r>
        <w:rPr>
          <w:rFonts w:ascii="Times New Roman" w:hAnsi="Times New Roman"/>
          <w:b w:val="false"/>
          <w:i w:val="false"/>
          <w:color w:val="000000"/>
          <w:sz w:val="22"/>
        </w:rPr>
        <w:t> </w:t>
      </w:r>
      <w:r>
        <w:rPr>
          <w:rFonts w:ascii="Times New Roman" w:hAnsi="Times New Roman"/>
          <w:b w:val="false"/>
          <w:i w:val="false"/>
          <w:color w:val="000000"/>
          <w:sz w:val="22"/>
        </w:rPr>
        <w:t>means the National Commission on Certification of Physician Assistants.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“Opioid”</w:t>
      </w:r>
      <w:r>
        <w:rPr>
          <w:rFonts w:ascii="Times New Roman" w:hAnsi="Times New Roman"/>
          <w:b w:val="false"/>
          <w:i w:val="false"/>
          <w:color w:val="000000"/>
          <w:sz w:val="22"/>
        </w:rPr>
        <w:t> </w:t>
      </w:r>
      <w:r>
        <w:rPr>
          <w:rFonts w:ascii="Times New Roman" w:hAnsi="Times New Roman"/>
          <w:b w:val="false"/>
          <w:i w:val="false"/>
          <w:color w:val="000000"/>
          <w:sz w:val="22"/>
        </w:rPr>
        <w:t>means a drug that produces an agonist effect on opioid receptors and is indicated or used for the treatment of pain or opioid use disorder.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“Other health care provider”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person licensed as a physician associate under Iowa Code chapter </w:t>
      </w:r>
      <w:hyperlink r:id="rId8">
        <w:r>
          <w:rPr>
            <w:rStyle w:val="Hyperlink"/>
            <w:rFonts w:ascii="Times New Roman" w:hAnsi="Times New Roman"/>
            <w:b w:val="false"/>
            <w:i w:val="false"/>
            <w:color w:val="000000"/>
            <w:sz w:val="22"/>
          </w:rPr>
          <w:t>148C</w:t>
        </w:r>
      </w:hyperlink>
      <w:r>
        <w:rPr>
          <w:rFonts w:ascii="Times New Roman" w:hAnsi="Times New Roman"/>
          <w:b w:val="false"/>
          <w:i w:val="false"/>
          <w:color w:val="000000"/>
          <w:sz w:val="22"/>
        </w:rPr>
        <w:t xml:space="preserve"> or an advanced registered nurse practitioner licensed under Iowa Code chapter </w:t>
      </w:r>
      <w:hyperlink r:id="rId9">
        <w:r>
          <w:rPr>
            <w:rStyle w:val="Hyperlink"/>
            <w:rFonts w:ascii="Times New Roman" w:hAnsi="Times New Roman"/>
            <w:b w:val="false"/>
            <w:i w:val="false"/>
            <w:color w:val="000000"/>
            <w:sz w:val="22"/>
          </w:rPr>
          <w:t>152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“Physician”</w:t>
      </w:r>
      <w:r>
        <w:rPr>
          <w:rFonts w:ascii="Times New Roman" w:hAnsi="Times New Roman"/>
          <w:b w:val="false"/>
          <w:i w:val="false"/>
          <w:color w:val="000000"/>
          <w:sz w:val="22"/>
        </w:rPr>
        <w:t> </w:t>
      </w:r>
      <w:r>
        <w:rPr>
          <w:rFonts w:ascii="Times New Roman" w:hAnsi="Times New Roman"/>
          <w:b w:val="false"/>
          <w:i w:val="false"/>
          <w:color w:val="000000"/>
          <w:sz w:val="22"/>
        </w:rPr>
        <w:t>means a person who is currently licensed in Iowa to practice medicine and surgery or osteopathic medicine and surgery. A physician supervising a physician associate practicing in a federal facility or under federal authority will not be required to obtain licensure beyond licensure requirements mandated by the federal government for supervising physicians.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“Prescription monitoring program database”</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“PMP database”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Iowa prescription monitoring program database administered by the board of pharmacy pursuant to Iowa Code chapter </w:t>
      </w:r>
      <w:hyperlink r:id="rId10">
        <w:r>
          <w:rPr>
            <w:rStyle w:val="Hyperlink"/>
            <w:rFonts w:ascii="Times New Roman" w:hAnsi="Times New Roman"/>
            <w:b w:val="false"/>
            <w:i w:val="false"/>
            <w:color w:val="000000"/>
            <w:sz w:val="22"/>
          </w:rPr>
          <w:t>124</w:t>
        </w:r>
      </w:hyperlink>
      <w:r>
        <w:rPr>
          <w:rFonts w:ascii="Times New Roman" w:hAnsi="Times New Roman"/>
          <w:b w:val="false"/>
          <w:i w:val="false"/>
          <w:color w:val="000000"/>
          <w:sz w:val="22"/>
        </w:rPr>
        <w:t xml:space="preserve">, subchapter VI, and </w:t>
      </w:r>
      <w:hyperlink r:id="rId11">
        <w:r>
          <w:rPr>
            <w:rStyle w:val="Hyperlink"/>
            <w:rFonts w:ascii="Times New Roman" w:hAnsi="Times New Roman"/>
            <w:b w:val="false"/>
            <w:i w:val="false"/>
            <w:color w:val="000000"/>
            <w:sz w:val="22"/>
          </w:rPr>
          <w:t>481—Chapter 556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“Reactivate”</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“reactivation”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process as outlined in rule </w:t>
      </w:r>
      <w:hyperlink r:id="rId12">
        <w:r>
          <w:rPr>
            <w:rStyle w:val="Hyperlink"/>
            <w:rFonts w:ascii="Times New Roman" w:hAnsi="Times New Roman"/>
            <w:b w:val="false"/>
            <w:i w:val="false"/>
            <w:color w:val="000000"/>
            <w:sz w:val="22"/>
          </w:rPr>
          <w:t>481—780.9</w:t>
        </w:r>
      </w:hyperlink>
      <w:r>
        <w:rPr>
          <w:rFonts w:ascii="Times New Roman" w:hAnsi="Times New Roman"/>
          <w:b w:val="false"/>
          <w:i w:val="false"/>
          <w:color w:val="000000"/>
          <w:sz w:val="22"/>
        </w:rPr>
        <w:t>(17A,147,272C)  by which an inactive license is restored to active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“Reinstatement”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process as outlined in rule </w:t>
      </w:r>
      <w:hyperlink r:id="rId13">
        <w:r>
          <w:rPr>
            <w:rStyle w:val="Hyperlink"/>
            <w:rFonts w:ascii="Times New Roman" w:hAnsi="Times New Roman"/>
            <w:b w:val="false"/>
            <w:i w:val="false"/>
            <w:color w:val="000000"/>
            <w:sz w:val="22"/>
          </w:rPr>
          <w:t>481—506.31</w:t>
        </w:r>
      </w:hyperlink>
      <w:r>
        <w:rPr>
          <w:rFonts w:ascii="Times New Roman" w:hAnsi="Times New Roman"/>
          <w:b w:val="false"/>
          <w:i w:val="false"/>
          <w:color w:val="000000"/>
          <w:sz w:val="22"/>
        </w:rPr>
        <w:t>(272C) by which a licensee who has had a license suspended or revoked or who has voluntarily surrendered a license may apply to have the license reinstated, with or without conditions. Once the license is reinstated, the licensee may apply for active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“Supervising physician”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physician who supervises the medical services provided by the physician associate engaged in independent practice consistent with the physician associate’s education, training, or experience. Supervision shall not be construed as a requirement to be applied to those physician associates who (1) are not engaged in an independent practice arrangement, (2) have already met the requirements to practice independently, or (3) are not required by law to be supervised.  Supervision shall not be construed as requiring the personal presence of a supervising physician at the place where such services are rendered, except insofar as the personal presence is expressly required by these rules or by Iowa Code chapter </w:t>
      </w:r>
      <w:hyperlink r:id="rId14">
        <w:r>
          <w:rPr>
            <w:rStyle w:val="Hyperlink"/>
            <w:rFonts w:ascii="Times New Roman" w:hAnsi="Times New Roman"/>
            <w:b w:val="false"/>
            <w:i w:val="false"/>
            <w:color w:val="000000"/>
            <w:sz w:val="22"/>
          </w:rPr>
          <w:t>148C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“Supply prescription drugs”</w:t>
      </w:r>
      <w:r>
        <w:rPr>
          <w:rFonts w:ascii="Times New Roman" w:hAnsi="Times New Roman"/>
          <w:b w:val="false"/>
          <w:i w:val="false"/>
          <w:color w:val="000000"/>
          <w:sz w:val="22"/>
        </w:rPr>
        <w:t> </w:t>
      </w:r>
      <w:r>
        <w:rPr>
          <w:rFonts w:ascii="Times New Roman" w:hAnsi="Times New Roman"/>
          <w:b w:val="false"/>
          <w:i w:val="false"/>
          <w:color w:val="000000"/>
          <w:sz w:val="22"/>
        </w:rPr>
        <w:t>means to deliver to a patient or the patient’s representative a quantity of prescription drugs or devices that are properly packaged and labeled.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9536C</w:t>
      </w:r>
      <w:r>
        <w:rPr>
          <w:rFonts w:ascii="Times New Roman" w:hAnsi="Times New Roman"/>
          <w:b w:val="false"/>
          <w:i w:val="false"/>
          <w:color w:val="000000"/>
          <w:sz w:val="16"/>
        </w:rPr>
        <w:t>, IAB 9/3/25, effective 10/8/25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481—780.2</w:t>
      </w:r>
      <w:r>
        <w:rPr>
          <w:rFonts w:ascii="Times New Roman" w:hAnsi="Times New Roman"/>
          <w:b/>
          <w:i w:val="false"/>
          <w:color w:val="000000"/>
          <w:sz w:val="22"/>
        </w:rPr>
        <w:t xml:space="preserve">(148C) </w:t>
      </w:r>
      <w:r>
        <w:rPr>
          <w:rFonts w:ascii="Times New Roman" w:hAnsi="Times New Roman"/>
          <w:b/>
          <w:i w:val="false"/>
          <w:color w:val="000000"/>
          <w:sz w:val="22"/>
        </w:rPr>
        <w:t xml:space="preserve">Initial licensure.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780.2(1)</w:t>
      </w:r>
      <w:r>
        <w:rPr>
          <w:rFonts w:ascii="Times New Roman" w:hAnsi="Times New Roman"/>
          <w:b w:val="false"/>
          <w:i w:val="false"/>
          <w:color w:val="000000"/>
          <w:sz w:val="22"/>
        </w:rPr>
        <w:t> </w:t>
      </w:r>
      <w:r>
        <w:rPr>
          <w:rFonts w:ascii="Times New Roman" w:hAnsi="Times New Roman"/>
          <w:b w:val="false"/>
          <w:i w:val="false"/>
          <w:color w:val="000000"/>
          <w:sz w:val="22"/>
        </w:rPr>
        <w:t>The following criteria shall apply to the initial licensure of physician associates: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applicant for licensure will complete an online application packet and pay the nonrefundable application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applicant for licensure will successfully pass the certifying examination conducted by the NCCPA or a successor examination approved by the board.  The applicant will request the NCCPA, or its successor agency, to send a copy of the initial certification to the board office.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applicant for licensure will request the approved program for education of physician associates to submit official copies of the applicant’s transcript to the board office.</w:t>
      </w:r>
    </w:p>
    <w:p>
      <w:pPr>
        <w:spacing w:before="0" w:after="0"/>
        <w:ind w:left="120"/>
        <w:jc w:val="both"/>
      </w:pPr>
      <w:r>
        <w:rPr>
          <w:rFonts w:ascii="Times New Roman" w:hAnsi="Times New Roman"/>
          <w:b w:val="false"/>
          <w:i w:val="false"/>
          <w:color w:val="000000"/>
          <w:sz w:val="22"/>
        </w:rPr>
        <w:t>EXCEPTION</w:t>
      </w:r>
      <w:r>
        <w:rPr>
          <w:rFonts w:ascii="Times New Roman" w:hAnsi="Times New Roman"/>
          <w:b w:val="false"/>
          <w:i w:val="false"/>
          <w:color w:val="000000"/>
          <w:sz w:val="22"/>
        </w:rPr>
        <w:t>: An applicant who is not a graduate of an approved program but who passed the NCCPA initial certification examination prior to 1986 is exempt from the graduation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In lieu of paragraphs </w:t>
      </w:r>
      <w:hyperlink r:id="rId15">
        <w:r>
          <w:rPr>
            <w:rStyle w:val="Hyperlink"/>
            <w:rFonts w:ascii="Times New Roman" w:hAnsi="Times New Roman"/>
            <w:b w:val="false"/>
            <w:i w:val="false"/>
            <w:color w:val="000000"/>
            <w:sz w:val="22"/>
          </w:rPr>
          <w:t>780.2(1)</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w:t>
      </w:r>
      <w:r>
        <w:rPr>
          <w:rFonts w:ascii="Times New Roman" w:hAnsi="Times New Roman"/>
          <w:b w:val="false"/>
          <w:i/>
          <w:color w:val="000000"/>
          <w:sz w:val="22"/>
        </w:rPr>
        <w:t>“c,”</w:t>
      </w:r>
      <w:r>
        <w:rPr>
          <w:rFonts w:ascii="Times New Roman" w:hAnsi="Times New Roman"/>
          <w:b w:val="false"/>
          <w:i w:val="false"/>
          <w:color w:val="000000"/>
          <w:sz w:val="22"/>
        </w:rPr>
        <w:t xml:space="preserve"> an applicant for licensure may provide documentation from the Federation Credentials Verification Service (FCVS) of the Federation of State Medical Boards as primary source verification for identity, education and national certification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780.2(2)</w:t>
      </w:r>
      <w:r>
        <w:rPr>
          <w:rFonts w:ascii="Times New Roman" w:hAnsi="Times New Roman"/>
          <w:b w:val="false"/>
          <w:i w:val="false"/>
          <w:color w:val="000000"/>
          <w:sz w:val="22"/>
        </w:rPr>
        <w:t> </w:t>
      </w:r>
      <w:r>
        <w:rPr>
          <w:rFonts w:ascii="Times New Roman" w:hAnsi="Times New Roman"/>
          <w:b w:val="false"/>
          <w:i w:val="false"/>
          <w:color w:val="000000"/>
          <w:sz w:val="22"/>
        </w:rPr>
        <w:t>If licensed in another jurisdiction, an applicant for licensure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Complete the licensure by endorsement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Submit a license verification document that discloses any disciplinary action taken in all jurisdictions where the applicant was previously licensed;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Submit proof of completion of 100 CME hours for each biennium since the licensee was initially certified.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780.2(3)</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for licensure who is licensed in another jurisdiction who cannot satisfy the requirements of licensure by endorsement may apply for licensure by verification, if eligible, in accordance with rule </w:t>
      </w:r>
      <w:hyperlink r:id="rId16">
        <w:r>
          <w:rPr>
            <w:rStyle w:val="Hyperlink"/>
            <w:rFonts w:ascii="Times New Roman" w:hAnsi="Times New Roman"/>
            <w:b w:val="false"/>
            <w:i w:val="false"/>
            <w:color w:val="000000"/>
            <w:sz w:val="22"/>
          </w:rPr>
          <w:t>481—501.1</w:t>
        </w:r>
      </w:hyperlink>
      <w:r>
        <w:rPr>
          <w:rFonts w:ascii="Times New Roman" w:hAnsi="Times New Roman"/>
          <w:b w:val="false"/>
          <w:i w:val="false"/>
          <w:color w:val="000000"/>
          <w:sz w:val="22"/>
        </w:rPr>
        <w:t>(272C).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780.2(4)</w:t>
      </w:r>
      <w:r>
        <w:rPr>
          <w:rFonts w:ascii="Times New Roman" w:hAnsi="Times New Roman"/>
          <w:b w:val="false"/>
          <w:i w:val="false"/>
          <w:color w:val="000000"/>
          <w:sz w:val="22"/>
        </w:rPr>
        <w:t> </w:t>
      </w:r>
      <w:r>
        <w:rPr>
          <w:rFonts w:ascii="Times New Roman" w:hAnsi="Times New Roman"/>
          <w:b w:val="false"/>
          <w:i w:val="false"/>
          <w:color w:val="000000"/>
          <w:sz w:val="22"/>
        </w:rPr>
        <w:t>An application not completed according to guidelines will not be reviewed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780.2(5)</w:t>
      </w:r>
      <w:r>
        <w:rPr>
          <w:rFonts w:ascii="Times New Roman" w:hAnsi="Times New Roman"/>
          <w:b w:val="false"/>
          <w:i w:val="false"/>
          <w:color w:val="000000"/>
          <w:sz w:val="22"/>
        </w:rPr>
        <w:t> </w:t>
      </w:r>
      <w:r>
        <w:rPr>
          <w:rFonts w:ascii="Times New Roman" w:hAnsi="Times New Roman"/>
          <w:b w:val="false"/>
          <w:i w:val="false"/>
          <w:color w:val="000000"/>
          <w:sz w:val="22"/>
        </w:rPr>
        <w:t>Incomplete applications that have been on file in the board office for more than two years will 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Considered invalid and destroyed;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Maintained upon written request from the applicant for licensure.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9536C</w:t>
      </w:r>
      <w:r>
        <w:rPr>
          <w:rFonts w:ascii="Times New Roman" w:hAnsi="Times New Roman"/>
          <w:b w:val="false"/>
          <w:i w:val="false"/>
          <w:color w:val="000000"/>
          <w:sz w:val="16"/>
        </w:rPr>
        <w:t>, IAB 9/3/25, effective 10/8/25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481—780.3</w:t>
      </w:r>
      <w:r>
        <w:rPr>
          <w:rFonts w:ascii="Times New Roman" w:hAnsi="Times New Roman"/>
          <w:b/>
          <w:i w:val="false"/>
          <w:color w:val="000000"/>
          <w:sz w:val="22"/>
        </w:rPr>
        <w:t xml:space="preserve">(148C) </w:t>
      </w:r>
      <w:r>
        <w:rPr>
          <w:rFonts w:ascii="Times New Roman" w:hAnsi="Times New Roman"/>
          <w:b/>
          <w:i w:val="false"/>
          <w:color w:val="000000"/>
          <w:sz w:val="22"/>
        </w:rPr>
        <w:t xml:space="preserve">Temporary licensure.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780.3(1)</w:t>
      </w:r>
      <w:r>
        <w:rPr>
          <w:rFonts w:ascii="Times New Roman" w:hAnsi="Times New Roman"/>
          <w:b w:val="false"/>
          <w:i w:val="false"/>
          <w:color w:val="000000"/>
          <w:sz w:val="22"/>
        </w:rPr>
        <w:t> </w:t>
      </w:r>
      <w:r>
        <w:rPr>
          <w:rFonts w:ascii="Times New Roman" w:hAnsi="Times New Roman"/>
          <w:b w:val="false"/>
          <w:i w:val="false"/>
          <w:color w:val="000000"/>
          <w:sz w:val="22"/>
        </w:rPr>
        <w:t>A temporary license may be issued for an applicant for licensure who has not taken the NCCPA initial certification examination or successor agency examination or is waiting for the results of the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780.3(2)</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for licensure must comply with subrule </w:t>
      </w:r>
      <w:hyperlink r:id="rId17">
        <w:r>
          <w:rPr>
            <w:rStyle w:val="Hyperlink"/>
            <w:rFonts w:ascii="Times New Roman" w:hAnsi="Times New Roman"/>
            <w:b w:val="false"/>
            <w:i w:val="false"/>
            <w:color w:val="000000"/>
            <w:sz w:val="22"/>
          </w:rPr>
          <w:t>780.2(1)</w:t>
        </w:r>
      </w:hyperlink>
      <w:r>
        <w:rPr>
          <w:rFonts w:ascii="Times New Roman" w:hAnsi="Times New Roman"/>
          <w:b w:val="false"/>
          <w:i w:val="false"/>
          <w:color w:val="000000"/>
          <w:sz w:val="22"/>
        </w:rPr>
        <w:t xml:space="preserve">, with the exception of paragraphs </w:t>
      </w:r>
      <w:hyperlink r:id="rId18">
        <w:r>
          <w:rPr>
            <w:rStyle w:val="Hyperlink"/>
            <w:rFonts w:ascii="Times New Roman" w:hAnsi="Times New Roman"/>
            <w:b w:val="false"/>
            <w:i w:val="false"/>
            <w:color w:val="000000"/>
            <w:sz w:val="22"/>
          </w:rPr>
          <w:t>780.2(1)</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w:t>
      </w:r>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780.3(3)</w:t>
      </w:r>
      <w:r>
        <w:rPr>
          <w:rFonts w:ascii="Times New Roman" w:hAnsi="Times New Roman"/>
          <w:b w:val="false"/>
          <w:i w:val="false"/>
          <w:color w:val="000000"/>
          <w:sz w:val="22"/>
        </w:rPr>
        <w:t> </w:t>
      </w:r>
      <w:r>
        <w:rPr>
          <w:rFonts w:ascii="Times New Roman" w:hAnsi="Times New Roman"/>
          <w:b w:val="false"/>
          <w:i w:val="false"/>
          <w:color w:val="000000"/>
          <w:sz w:val="22"/>
        </w:rPr>
        <w:t>A temporary license will be valid for one year from the date of issuance.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780.3(4)</w:t>
      </w:r>
      <w:r>
        <w:rPr>
          <w:rFonts w:ascii="Times New Roman" w:hAnsi="Times New Roman"/>
          <w:b w:val="false"/>
          <w:i w:val="false"/>
          <w:color w:val="000000"/>
          <w:sz w:val="22"/>
        </w:rPr>
        <w:t> </w:t>
      </w:r>
      <w:r>
        <w:rPr>
          <w:rFonts w:ascii="Times New Roman" w:hAnsi="Times New Roman"/>
          <w:b w:val="false"/>
          <w:i w:val="false"/>
          <w:color w:val="000000"/>
          <w:sz w:val="22"/>
        </w:rPr>
        <w:t>The temporary license will be renewed only once upon an applicant for licensure’s showing proof that, through no fault of the applicant, the applicant was unable to take the certification examination recognized by the board. Proof of inability to take the certification examination will be submitted to the board office with written request for renewal of a temporary license, accompanied by the temporary license renewal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780.3(5)</w:t>
      </w:r>
      <w:r>
        <w:rPr>
          <w:rFonts w:ascii="Times New Roman" w:hAnsi="Times New Roman"/>
          <w:b w:val="false"/>
          <w:i w:val="false"/>
          <w:color w:val="000000"/>
          <w:sz w:val="22"/>
        </w:rPr>
        <w:t> </w:t>
      </w:r>
      <w:r>
        <w:rPr>
          <w:rFonts w:ascii="Times New Roman" w:hAnsi="Times New Roman"/>
          <w:b w:val="false"/>
          <w:i w:val="false"/>
          <w:color w:val="000000"/>
          <w:sz w:val="22"/>
        </w:rPr>
        <w:t>If the temporary licensee fails the certification examination, the temporary licensee must cease practice immediately and surrender the temporary license by the next business day.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780.3(6)</w:t>
      </w:r>
      <w:r>
        <w:rPr>
          <w:rFonts w:ascii="Times New Roman" w:hAnsi="Times New Roman"/>
          <w:b w:val="false"/>
          <w:i w:val="false"/>
          <w:color w:val="000000"/>
          <w:sz w:val="22"/>
        </w:rPr>
        <w:t> </w:t>
      </w:r>
      <w:r>
        <w:rPr>
          <w:rFonts w:ascii="Times New Roman" w:hAnsi="Times New Roman"/>
          <w:b w:val="false"/>
          <w:i w:val="false"/>
          <w:color w:val="000000"/>
          <w:sz w:val="22"/>
        </w:rPr>
        <w:t>There is no additional fee for converting temporary licensure to permanent licensure.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780.3(7)</w:t>
      </w:r>
      <w:r>
        <w:rPr>
          <w:rFonts w:ascii="Times New Roman" w:hAnsi="Times New Roman"/>
          <w:b w:val="false"/>
          <w:i w:val="false"/>
          <w:color w:val="000000"/>
          <w:sz w:val="22"/>
        </w:rPr>
        <w:t> </w:t>
      </w:r>
      <w:r>
        <w:rPr>
          <w:rFonts w:ascii="Times New Roman" w:hAnsi="Times New Roman"/>
          <w:b w:val="false"/>
          <w:i w:val="false"/>
          <w:color w:val="000000"/>
          <w:sz w:val="22"/>
        </w:rPr>
        <w:t>An applicant for licensure will ensure that certification of completion is sent to the board directly from an approved program for the education of physician associates. The certification of completion must be signed by a designee from the approved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9536C</w:t>
      </w:r>
      <w:r>
        <w:rPr>
          <w:rFonts w:ascii="Times New Roman" w:hAnsi="Times New Roman"/>
          <w:b w:val="false"/>
          <w:i w:val="false"/>
          <w:color w:val="000000"/>
          <w:sz w:val="16"/>
        </w:rPr>
        <w:t>, IAB 9/3/25, effective 10/8/25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481—780.4</w:t>
      </w:r>
      <w:r>
        <w:rPr>
          <w:rFonts w:ascii="Times New Roman" w:hAnsi="Times New Roman"/>
          <w:b/>
          <w:i w:val="false"/>
          <w:color w:val="000000"/>
          <w:sz w:val="22"/>
        </w:rPr>
        <w:t xml:space="preserve">(148C) </w:t>
      </w:r>
      <w:r>
        <w:rPr>
          <w:rFonts w:ascii="Times New Roman" w:hAnsi="Times New Roman"/>
          <w:b/>
          <w:i w:val="false"/>
          <w:color w:val="000000"/>
          <w:sz w:val="22"/>
        </w:rPr>
        <w:t xml:space="preserve">Physician supervision not required. </w:t>
      </w:r>
      <w:r>
        <w:rPr>
          <w:rFonts w:ascii="Times New Roman" w:hAnsi="Times New Roman"/>
          <w:b w:val="false"/>
          <w:i w:val="false"/>
          <w:color w:val="000000"/>
          <w:sz w:val="22"/>
        </w:rPr>
        <w:t>A physician associate is not required to be supervised by a physician when: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780.4(1)</w:t>
      </w:r>
      <w:r>
        <w:rPr>
          <w:rFonts w:ascii="Times New Roman" w:hAnsi="Times New Roman"/>
          <w:b w:val="false"/>
          <w:i w:val="false"/>
          <w:color w:val="000000"/>
          <w:sz w:val="22"/>
        </w:rPr>
        <w:t> </w:t>
      </w:r>
      <w:r>
        <w:rPr>
          <w:rFonts w:ascii="Times New Roman" w:hAnsi="Times New Roman"/>
          <w:b w:val="false"/>
          <w:i w:val="false"/>
          <w:color w:val="000000"/>
          <w:sz w:val="22"/>
        </w:rPr>
        <w:t>The physician associate is licensed in the state of Iowa or eligible to become licensed in the state of Iowa; and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780.4(2)</w:t>
      </w:r>
      <w:r>
        <w:rPr>
          <w:rFonts w:ascii="Times New Roman" w:hAnsi="Times New Roman"/>
          <w:b w:val="false"/>
          <w:i w:val="false"/>
          <w:color w:val="000000"/>
          <w:sz w:val="22"/>
        </w:rPr>
        <w:t> </w:t>
      </w:r>
      <w:r>
        <w:rPr>
          <w:rFonts w:ascii="Times New Roman" w:hAnsi="Times New Roman"/>
          <w:b w:val="false"/>
          <w:i w:val="false"/>
          <w:color w:val="000000"/>
          <w:sz w:val="22"/>
        </w:rPr>
        <w:t>The physician associate has previously practiced under a supervising physician or in collaboration with an Iowa-licensed physician or other licensed health care professional for a period of at least two years; 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780.4(3)</w:t>
      </w:r>
      <w:r>
        <w:rPr>
          <w:rFonts w:ascii="Times New Roman" w:hAnsi="Times New Roman"/>
          <w:b w:val="false"/>
          <w:i w:val="false"/>
          <w:color w:val="000000"/>
          <w:sz w:val="22"/>
        </w:rPr>
        <w:t> </w:t>
      </w:r>
      <w:r>
        <w:rPr>
          <w:rFonts w:ascii="Times New Roman" w:hAnsi="Times New Roman"/>
          <w:b w:val="false"/>
          <w:i w:val="false"/>
          <w:color w:val="000000"/>
          <w:sz w:val="22"/>
        </w:rPr>
        <w:t xml:space="preserve">The physician associate is not practicing in an independent practice arrangement as defined in Iowa Code section </w:t>
      </w:r>
      <w:hyperlink r:id="rId19">
        <w:r>
          <w:rPr>
            <w:rStyle w:val="Hyperlink"/>
            <w:rFonts w:ascii="Times New Roman" w:hAnsi="Times New Roman"/>
            <w:b w:val="false"/>
            <w:i w:val="false"/>
            <w:color w:val="000000"/>
            <w:sz w:val="22"/>
          </w:rPr>
          <w:t>148C.1(5)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9536C</w:t>
      </w:r>
      <w:r>
        <w:rPr>
          <w:rFonts w:ascii="Times New Roman" w:hAnsi="Times New Roman"/>
          <w:b w:val="false"/>
          <w:i w:val="false"/>
          <w:color w:val="000000"/>
          <w:sz w:val="16"/>
        </w:rPr>
        <w:t>, IAB 9/3/25, effective 10/8/25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481—780.5</w:t>
      </w:r>
      <w:r>
        <w:rPr>
          <w:rFonts w:ascii="Times New Roman" w:hAnsi="Times New Roman"/>
          <w:b/>
          <w:i w:val="false"/>
          <w:color w:val="000000"/>
          <w:sz w:val="22"/>
        </w:rPr>
        <w:t xml:space="preserve">(148C) </w:t>
      </w:r>
      <w:r>
        <w:rPr>
          <w:rFonts w:ascii="Times New Roman" w:hAnsi="Times New Roman"/>
          <w:b/>
          <w:i w:val="false"/>
          <w:color w:val="000000"/>
          <w:sz w:val="22"/>
        </w:rPr>
        <w:t xml:space="preserve">Physician supervision required.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780.5(1)</w:t>
      </w:r>
      <w:r>
        <w:rPr>
          <w:rFonts w:ascii="Times New Roman" w:hAnsi="Times New Roman"/>
          <w:b w:val="false"/>
          <w:i w:val="false"/>
          <w:color w:val="000000"/>
          <w:sz w:val="22"/>
        </w:rPr>
        <w:t> </w:t>
      </w:r>
      <w:r>
        <w:rPr>
          <w:rFonts w:ascii="Times New Roman" w:hAnsi="Times New Roman"/>
          <w:b w:val="false"/>
          <w:i w:val="false"/>
          <w:color w:val="000000"/>
          <w:sz w:val="22"/>
        </w:rPr>
        <w:t xml:space="preserve">A physician associate is required to be supervised by a physician when the physician associate is practicing in an independent practice arrangement as defined in Iowa Code section </w:t>
      </w:r>
      <w:hyperlink r:id="rId20">
        <w:r>
          <w:rPr>
            <w:rStyle w:val="Hyperlink"/>
            <w:rFonts w:ascii="Times New Roman" w:hAnsi="Times New Roman"/>
            <w:b w:val="false"/>
            <w:i w:val="false"/>
            <w:color w:val="000000"/>
            <w:sz w:val="22"/>
          </w:rPr>
          <w:t>148C.1(5)</w:t>
        </w:r>
      </w:hyperlink>
      <w:r>
        <w:rPr>
          <w:rFonts w:ascii="Times New Roman" w:hAnsi="Times New Roman"/>
          <w:b w:val="false"/>
          <w:i w:val="false"/>
          <w:color w:val="000000"/>
          <w:sz w:val="22"/>
        </w:rPr>
        <w:t xml:space="preserve"> and the physician associate has not previously practiced under a supervising physician or in collaboration with the appropriate physician or other health care professional for a period of at least two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780.5(2)</w:t>
      </w:r>
      <w:r>
        <w:rPr>
          <w:rFonts w:ascii="Times New Roman" w:hAnsi="Times New Roman"/>
          <w:b w:val="false"/>
          <w:i w:val="false"/>
          <w:color w:val="000000"/>
          <w:sz w:val="22"/>
        </w:rPr>
        <w:t> </w:t>
      </w:r>
      <w:r>
        <w:rPr>
          <w:rFonts w:ascii="Times New Roman" w:hAnsi="Times New Roman"/>
          <w:b w:val="false"/>
          <w:i w:val="false"/>
          <w:color w:val="000000"/>
          <w:sz w:val="22"/>
        </w:rPr>
        <w:t>Requirements for a physician associate and supervising physician.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physician associate will use the jointly approved board forms to notify the board of the identity of the physician associate’s supervising physician prior to beginning practice in Iowa. The physician associate will notify the board of the identity of each of the physician associate’s supervising physicians and of any change in the status of the supervisory relationships during the physician associate’s required supervisory biennium.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physician associate and a supervising physician will utilize the board form to show a mutual understanding of the physician associate’s scope of practice, identified medical procedures and the areas of medicine performed.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physician associate will maintain documentation of current supervising physicians, which will be made available to the board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It shall be the joint responsibility of a physician associate and a supervising physician to ensure the physician associate is adequately supervised. Upon agreeing to supervise the physician associate, the supervising physician will be advised that the physician’s name will be listed with the board as a supervising physician. The physician associate and the supervising physician are each responsible for knowing and complying with the supervision provisions of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Patient care provided by a physician associate will be reviewed with a supervising physician determined at the practice level, ensuring each patient has received the appropriate medical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Patient care provided by a physician associate may be reviewed with a supervising physician in person, by telephone or by other means of telecommunication and determined at the practice level.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9536C</w:t>
      </w:r>
      <w:r>
        <w:rPr>
          <w:rFonts w:ascii="Times New Roman" w:hAnsi="Times New Roman"/>
          <w:b w:val="false"/>
          <w:i w:val="false"/>
          <w:color w:val="000000"/>
          <w:sz w:val="16"/>
        </w:rPr>
        <w:t>, IAB 9/3/25, effective 10/8/25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481—780.6</w:t>
      </w:r>
      <w:r>
        <w:rPr>
          <w:rFonts w:ascii="Times New Roman" w:hAnsi="Times New Roman"/>
          <w:b/>
          <w:i w:val="false"/>
          <w:color w:val="000000"/>
          <w:sz w:val="22"/>
        </w:rPr>
        <w:t xml:space="preserve">(148C) </w:t>
      </w:r>
      <w:r>
        <w:rPr>
          <w:rFonts w:ascii="Times New Roman" w:hAnsi="Times New Roman"/>
          <w:b/>
          <w:i w:val="false"/>
          <w:color w:val="000000"/>
          <w:sz w:val="22"/>
        </w:rPr>
        <w:t xml:space="preserve">Physician eligibility to supervise physician associates. </w:t>
      </w:r>
      <w:r>
        <w:rPr>
          <w:rFonts w:ascii="Times New Roman" w:hAnsi="Times New Roman"/>
          <w:b w:val="false"/>
          <w:i w:val="false"/>
          <w:color w:val="000000"/>
          <w:sz w:val="22"/>
        </w:rPr>
        <w:t xml:space="preserve">Information on physician eligibility to supervise physician associates is contained in </w:t>
      </w:r>
      <w:hyperlink r:id="rId21">
        <w:r>
          <w:rPr>
            <w:rStyle w:val="Hyperlink"/>
            <w:rFonts w:ascii="Times New Roman" w:hAnsi="Times New Roman"/>
            <w:b w:val="false"/>
            <w:i w:val="false"/>
            <w:color w:val="000000"/>
            <w:sz w:val="22"/>
          </w:rPr>
          <w:t>653—subrules 21.1(1) through 21.1(4)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9536C</w:t>
      </w:r>
      <w:r>
        <w:rPr>
          <w:rFonts w:ascii="Times New Roman" w:hAnsi="Times New Roman"/>
          <w:b w:val="false"/>
          <w:i w:val="false"/>
          <w:color w:val="000000"/>
          <w:sz w:val="16"/>
        </w:rPr>
        <w:t>, IAB 9/3/25, effective 10/8/25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481—780.7</w:t>
      </w:r>
      <w:r>
        <w:rPr>
          <w:rFonts w:ascii="Times New Roman" w:hAnsi="Times New Roman"/>
          <w:b/>
          <w:i w:val="false"/>
          <w:color w:val="000000"/>
          <w:sz w:val="22"/>
        </w:rPr>
        <w:t xml:space="preserve">(148C) </w:t>
      </w:r>
      <w:r>
        <w:rPr>
          <w:rFonts w:ascii="Times New Roman" w:hAnsi="Times New Roman"/>
          <w:b/>
          <w:i w:val="false"/>
          <w:color w:val="000000"/>
          <w:sz w:val="22"/>
        </w:rPr>
        <w:t xml:space="preserve">Collaborative practice.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780.7(1)</w:t>
      </w:r>
      <w:r>
        <w:rPr>
          <w:rFonts w:ascii="Times New Roman" w:hAnsi="Times New Roman"/>
          <w:b w:val="false"/>
          <w:i w:val="false"/>
          <w:color w:val="000000"/>
          <w:sz w:val="22"/>
        </w:rPr>
        <w:t> </w:t>
      </w:r>
      <w:r>
        <w:rPr>
          <w:rFonts w:ascii="Times New Roman" w:hAnsi="Times New Roman"/>
          <w:b w:val="false"/>
          <w:i w:val="false"/>
          <w:color w:val="000000"/>
          <w:sz w:val="22"/>
        </w:rPr>
        <w:t xml:space="preserve">After the conclusion of two years of practice under a supervising physician as required by rule </w:t>
      </w:r>
      <w:hyperlink r:id="rId22">
        <w:r>
          <w:rPr>
            <w:rStyle w:val="Hyperlink"/>
            <w:rFonts w:ascii="Times New Roman" w:hAnsi="Times New Roman"/>
            <w:b w:val="false"/>
            <w:i w:val="false"/>
            <w:color w:val="000000"/>
            <w:sz w:val="22"/>
          </w:rPr>
          <w:t>481—780.5</w:t>
        </w:r>
      </w:hyperlink>
      <w:r>
        <w:rPr>
          <w:rFonts w:ascii="Times New Roman" w:hAnsi="Times New Roman"/>
          <w:b w:val="false"/>
          <w:i w:val="false"/>
          <w:color w:val="000000"/>
          <w:sz w:val="22"/>
        </w:rPr>
        <w:t xml:space="preserve">(148C), a physician associate will continue collaboration with a physician or other health care provider as defined in rule </w:t>
      </w:r>
      <w:hyperlink r:id="rId23">
        <w:r>
          <w:rPr>
            <w:rStyle w:val="Hyperlink"/>
            <w:rFonts w:ascii="Times New Roman" w:hAnsi="Times New Roman"/>
            <w:b w:val="false"/>
            <w:i w:val="false"/>
            <w:color w:val="000000"/>
            <w:sz w:val="22"/>
          </w:rPr>
          <w:t>481—780.1</w:t>
        </w:r>
      </w:hyperlink>
      <w:r>
        <w:rPr>
          <w:rFonts w:ascii="Times New Roman" w:hAnsi="Times New Roman"/>
          <w:b w:val="false"/>
          <w:i w:val="false"/>
          <w:color w:val="000000"/>
          <w:sz w:val="22"/>
        </w:rPr>
        <w:t xml:space="preserve">(148C), which will be determined at the practice level.  This rule shall not be construed to apply to physician associates in independent practice who did not previously meet the criteria of rule </w:t>
      </w:r>
      <w:hyperlink r:id="rId24">
        <w:r>
          <w:rPr>
            <w:rStyle w:val="Hyperlink"/>
            <w:rFonts w:ascii="Times New Roman" w:hAnsi="Times New Roman"/>
            <w:b w:val="false"/>
            <w:i w:val="false"/>
            <w:color w:val="000000"/>
            <w:sz w:val="22"/>
          </w:rPr>
          <w:t>481—780.5</w:t>
        </w:r>
      </w:hyperlink>
      <w:r>
        <w:rPr>
          <w:rFonts w:ascii="Times New Roman" w:hAnsi="Times New Roman"/>
          <w:b w:val="false"/>
          <w:i w:val="false"/>
          <w:color w:val="000000"/>
          <w:sz w:val="22"/>
        </w:rPr>
        <w:t>(148C).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780.7(2)</w:t>
      </w:r>
      <w:r>
        <w:rPr>
          <w:rFonts w:ascii="Times New Roman" w:hAnsi="Times New Roman"/>
          <w:b w:val="false"/>
          <w:i w:val="false"/>
          <w:color w:val="000000"/>
          <w:sz w:val="22"/>
        </w:rPr>
        <w:t> </w:t>
      </w:r>
      <w:r>
        <w:rPr>
          <w:rFonts w:ascii="Times New Roman" w:hAnsi="Times New Roman"/>
          <w:b w:val="false"/>
          <w:i w:val="false"/>
          <w:color w:val="000000"/>
          <w:sz w:val="22"/>
        </w:rPr>
        <w:t xml:space="preserve">A collaborating physician or other health care provider defined in rule </w:t>
      </w:r>
      <w:hyperlink r:id="rId25">
        <w:r>
          <w:rPr>
            <w:rStyle w:val="Hyperlink"/>
            <w:rFonts w:ascii="Times New Roman" w:hAnsi="Times New Roman"/>
            <w:b w:val="false"/>
            <w:i w:val="false"/>
            <w:color w:val="000000"/>
            <w:sz w:val="22"/>
          </w:rPr>
          <w:t>481—780.1</w:t>
        </w:r>
      </w:hyperlink>
      <w:r>
        <w:rPr>
          <w:rFonts w:ascii="Times New Roman" w:hAnsi="Times New Roman"/>
          <w:b w:val="false"/>
          <w:i w:val="false"/>
          <w:color w:val="000000"/>
          <w:sz w:val="22"/>
        </w:rPr>
        <w:t>(148C) and a physician associate should follow best practice guidelines and discuss cases as determined at the practice level. If there are any deficiencies in care noted, the collaborating health care provider will educate the physician associate on best practice guidelines.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780.7(3)</w:t>
      </w:r>
      <w:r>
        <w:rPr>
          <w:rFonts w:ascii="Times New Roman" w:hAnsi="Times New Roman"/>
          <w:b w:val="false"/>
          <w:i w:val="false"/>
          <w:color w:val="000000"/>
          <w:sz w:val="22"/>
        </w:rPr>
        <w:t> </w:t>
      </w:r>
      <w:r>
        <w:rPr>
          <w:rFonts w:ascii="Times New Roman" w:hAnsi="Times New Roman"/>
          <w:b w:val="false"/>
          <w:i w:val="false"/>
          <w:color w:val="000000"/>
          <w:sz w:val="22"/>
        </w:rPr>
        <w:t>The scope of practice for a physician associate shall be limited to medical care that is within the physician associate’s education, training, and experience.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780.7(4)</w:t>
      </w:r>
      <w:r>
        <w:rPr>
          <w:rFonts w:ascii="Times New Roman" w:hAnsi="Times New Roman"/>
          <w:b w:val="false"/>
          <w:i w:val="false"/>
          <w:color w:val="000000"/>
          <w:sz w:val="22"/>
        </w:rPr>
        <w:t> </w:t>
      </w:r>
      <w:r>
        <w:rPr>
          <w:rFonts w:ascii="Times New Roman" w:hAnsi="Times New Roman"/>
          <w:b w:val="false"/>
          <w:i w:val="false"/>
          <w:color w:val="000000"/>
          <w:sz w:val="22"/>
        </w:rPr>
        <w:t>Documentation of the collaboration between a physician associate and a physician or other health care provider shall be kept by the physician associate and provided to the board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780.7(5)</w:t>
      </w:r>
      <w:r>
        <w:rPr>
          <w:rFonts w:ascii="Times New Roman" w:hAnsi="Times New Roman"/>
          <w:b w:val="false"/>
          <w:i w:val="false"/>
          <w:color w:val="000000"/>
          <w:sz w:val="22"/>
        </w:rPr>
        <w:t> </w:t>
      </w:r>
      <w:r>
        <w:rPr>
          <w:rFonts w:ascii="Times New Roman" w:hAnsi="Times New Roman"/>
          <w:b w:val="false"/>
          <w:i w:val="false"/>
          <w:color w:val="000000"/>
          <w:sz w:val="22"/>
        </w:rPr>
        <w:t xml:space="preserve">Eligibility of other health care provider for collaboration. During the two-year period of collaboration, the other health care provider as defined in rule </w:t>
      </w:r>
      <w:hyperlink r:id="rId26">
        <w:r>
          <w:rPr>
            <w:rStyle w:val="Hyperlink"/>
            <w:rFonts w:ascii="Times New Roman" w:hAnsi="Times New Roman"/>
            <w:b w:val="false"/>
            <w:i w:val="false"/>
            <w:color w:val="000000"/>
            <w:sz w:val="22"/>
          </w:rPr>
          <w:t>481—780.1</w:t>
        </w:r>
      </w:hyperlink>
      <w:r>
        <w:rPr>
          <w:rFonts w:ascii="Times New Roman" w:hAnsi="Times New Roman"/>
          <w:b w:val="false"/>
          <w:i w:val="false"/>
          <w:color w:val="000000"/>
          <w:sz w:val="22"/>
        </w:rPr>
        <w:t>(148C) shall be a provider who has been in practice for a minimum of five years and is not subject to discipline by the provider’s respective licensing authority.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9536C</w:t>
      </w:r>
      <w:r>
        <w:rPr>
          <w:rFonts w:ascii="Times New Roman" w:hAnsi="Times New Roman"/>
          <w:b w:val="false"/>
          <w:i w:val="false"/>
          <w:color w:val="000000"/>
          <w:sz w:val="16"/>
        </w:rPr>
        <w:t>, IAB 9/3/25, effective 10/8/25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481—780.8</w:t>
      </w:r>
      <w:r>
        <w:rPr>
          <w:rFonts w:ascii="Times New Roman" w:hAnsi="Times New Roman"/>
          <w:b/>
          <w:i w:val="false"/>
          <w:color w:val="000000"/>
          <w:sz w:val="22"/>
        </w:rPr>
        <w:t xml:space="preserve">(148C) </w:t>
      </w:r>
      <w:r>
        <w:rPr>
          <w:rFonts w:ascii="Times New Roman" w:hAnsi="Times New Roman"/>
          <w:b/>
          <w:i w:val="false"/>
          <w:color w:val="000000"/>
          <w:sz w:val="22"/>
        </w:rPr>
        <w:t xml:space="preserve">License renewal.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780.8(1)</w:t>
      </w:r>
      <w:r>
        <w:rPr>
          <w:rFonts w:ascii="Times New Roman" w:hAnsi="Times New Roman"/>
          <w:b w:val="false"/>
          <w:i w:val="false"/>
          <w:color w:val="000000"/>
          <w:sz w:val="22"/>
        </w:rPr>
        <w:t> </w:t>
      </w:r>
      <w:r>
        <w:rPr>
          <w:rFonts w:ascii="Times New Roman" w:hAnsi="Times New Roman"/>
          <w:b w:val="false"/>
          <w:i w:val="false"/>
          <w:color w:val="000000"/>
          <w:sz w:val="22"/>
        </w:rPr>
        <w:t>The license renewal period for a license to practice will begin on October 1 and end on September 30 two years later. The licensee is responsible for renewing the license prior to its expiration. Failure of the licensee to receive notice from the board does not relieve the licensee of the responsibility for renewing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780.8(2)</w:t>
      </w:r>
      <w:r>
        <w:rPr>
          <w:rFonts w:ascii="Times New Roman" w:hAnsi="Times New Roman"/>
          <w:b w:val="false"/>
          <w:i w:val="false"/>
          <w:color w:val="000000"/>
          <w:sz w:val="22"/>
        </w:rPr>
        <w:t> </w:t>
      </w:r>
      <w:r>
        <w:rPr>
          <w:rFonts w:ascii="Times New Roman" w:hAnsi="Times New Roman"/>
          <w:b w:val="false"/>
          <w:i w:val="false"/>
          <w:color w:val="000000"/>
          <w:sz w:val="22"/>
        </w:rPr>
        <w:t>An individual who was issued a license within six months of the license renewal date will not be required to renew the license until the subsequent renewal date two years later.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780.8(3)</w:t>
      </w:r>
      <w:r>
        <w:rPr>
          <w:rFonts w:ascii="Times New Roman" w:hAnsi="Times New Roman"/>
          <w:b w:val="false"/>
          <w:i w:val="false"/>
          <w:color w:val="000000"/>
          <w:sz w:val="22"/>
        </w:rPr>
        <w:t> </w:t>
      </w:r>
      <w:r>
        <w:rPr>
          <w:rFonts w:ascii="Times New Roman" w:hAnsi="Times New Roman"/>
          <w:b w:val="false"/>
          <w:i w:val="false"/>
          <w:color w:val="000000"/>
          <w:sz w:val="22"/>
        </w:rPr>
        <w:t>A licensee applying for renewal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Meet the continuing education requirements of </w:t>
      </w:r>
      <w:hyperlink r:id="rId27">
        <w:r>
          <w:rPr>
            <w:rStyle w:val="Hyperlink"/>
            <w:rFonts w:ascii="Times New Roman" w:hAnsi="Times New Roman"/>
            <w:b w:val="false"/>
            <w:i w:val="false"/>
            <w:color w:val="000000"/>
            <w:sz w:val="22"/>
          </w:rPr>
          <w:t>481—Chapter 782</w:t>
        </w:r>
      </w:hyperlink>
      <w:r>
        <w:rPr>
          <w:rFonts w:ascii="Times New Roman" w:hAnsi="Times New Roman"/>
          <w:b w:val="false"/>
          <w:i w:val="false"/>
          <w:color w:val="000000"/>
          <w:sz w:val="22"/>
        </w:rPr>
        <w:t xml:space="preserve"> and the mandatory reporting requirements of subrule </w:t>
      </w:r>
      <w:hyperlink r:id="rId28">
        <w:r>
          <w:rPr>
            <w:rStyle w:val="Hyperlink"/>
            <w:rFonts w:ascii="Times New Roman" w:hAnsi="Times New Roman"/>
            <w:b w:val="false"/>
            <w:i w:val="false"/>
            <w:color w:val="000000"/>
            <w:sz w:val="22"/>
          </w:rPr>
          <w:t>780.8(4)</w:t>
        </w:r>
      </w:hyperlink>
      <w:r>
        <w:rPr>
          <w:rFonts w:ascii="Times New Roman" w:hAnsi="Times New Roman"/>
          <w:b w:val="false"/>
          <w:i w:val="false"/>
          <w:color w:val="000000"/>
          <w:sz w:val="22"/>
        </w:rPr>
        <w:t>. A licensee whose license was reactivated during the current renewal compliance period may use continuing education credit earned during the compliance period for the first renewal following reactivation;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Complete the online renewal application, pay the fee, and attach certificate of completion of continuing education hours before the expiration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780.8(4)</w:t>
      </w:r>
      <w:r>
        <w:rPr>
          <w:rFonts w:ascii="Times New Roman" w:hAnsi="Times New Roman"/>
          <w:b w:val="false"/>
          <w:i w:val="false"/>
          <w:color w:val="000000"/>
          <w:sz w:val="22"/>
        </w:rPr>
        <w:t> </w:t>
      </w:r>
      <w:r>
        <w:rPr>
          <w:rFonts w:ascii="Times New Roman" w:hAnsi="Times New Roman"/>
          <w:b w:val="false"/>
          <w:i w:val="false"/>
          <w:color w:val="000000"/>
          <w:sz w:val="22"/>
        </w:rPr>
        <w:t>Mandatory reporter training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licensee who, in the scope of professional practice or in the licensee’s employment responsibilities, examines, attends, counsels or treats children in Iowa will indicate on the renewal application completion of training in child abuse identification and reporting as required by Iowa Code section </w:t>
      </w:r>
      <w:hyperlink r:id="rId29">
        <w:r>
          <w:rPr>
            <w:rStyle w:val="Hyperlink"/>
            <w:rFonts w:ascii="Times New Roman" w:hAnsi="Times New Roman"/>
            <w:b w:val="false"/>
            <w:i w:val="false"/>
            <w:color w:val="000000"/>
            <w:sz w:val="22"/>
          </w:rPr>
          <w:t>232.69(3)</w:t>
        </w:r>
      </w:hyperlink>
      <w:r>
        <w:rPr>
          <w:rFonts w:ascii="Times New Roman" w:hAnsi="Times New Roman"/>
          <w:b w:val="false"/>
          <w:i/>
          <w:color w:val="000000"/>
          <w:sz w:val="22"/>
        </w:rPr>
        <w:t>“b”</w:t>
      </w:r>
      <w:r>
        <w:rPr>
          <w:rFonts w:ascii="Times New Roman" w:hAnsi="Times New Roman"/>
          <w:b w:val="false"/>
          <w:i w:val="false"/>
          <w:color w:val="000000"/>
          <w:sz w:val="22"/>
        </w:rPr>
        <w:t xml:space="preserve"> in the previous three years or condition(s) for waiver of this requirement as identified in paragraph </w:t>
      </w:r>
      <w:hyperlink r:id="rId30">
        <w:r>
          <w:rPr>
            <w:rStyle w:val="Hyperlink"/>
            <w:rFonts w:ascii="Times New Roman" w:hAnsi="Times New Roman"/>
            <w:b w:val="false"/>
            <w:i w:val="false"/>
            <w:color w:val="000000"/>
            <w:sz w:val="22"/>
          </w:rPr>
          <w:t>780.8(4)</w:t>
        </w:r>
      </w:hyperlink>
      <w:r>
        <w:rPr>
          <w:rFonts w:ascii="Times New Roman" w:hAnsi="Times New Roman"/>
          <w:b w:val="false"/>
          <w:i/>
          <w:color w:val="000000"/>
          <w:sz w:val="22"/>
        </w:rPr>
        <w: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licensee who, in the course of employment responsibilities, examines, attends, counsels or treats adults in Iowa will indicate on the renewal application completion of training in dependent adult abuse identification and reporting as required by Iowa Code section </w:t>
      </w:r>
      <w:hyperlink r:id="rId31">
        <w:r>
          <w:rPr>
            <w:rStyle w:val="Hyperlink"/>
            <w:rFonts w:ascii="Times New Roman" w:hAnsi="Times New Roman"/>
            <w:b w:val="false"/>
            <w:i w:val="false"/>
            <w:color w:val="000000"/>
            <w:sz w:val="22"/>
          </w:rPr>
          <w:t>235B.16(5)</w:t>
        </w:r>
      </w:hyperlink>
      <w:r>
        <w:rPr>
          <w:rFonts w:ascii="Times New Roman" w:hAnsi="Times New Roman"/>
          <w:b w:val="false"/>
          <w:i/>
          <w:color w:val="000000"/>
          <w:sz w:val="22"/>
        </w:rPr>
        <w:t>“b”</w:t>
      </w:r>
      <w:r>
        <w:rPr>
          <w:rFonts w:ascii="Times New Roman" w:hAnsi="Times New Roman"/>
          <w:b w:val="false"/>
          <w:i w:val="false"/>
          <w:color w:val="000000"/>
          <w:sz w:val="22"/>
        </w:rPr>
        <w:t xml:space="preserve"> in the previous three years or condition(s) for waiver of this requirement as identified in paragraph </w:t>
      </w:r>
      <w:hyperlink r:id="rId32">
        <w:r>
          <w:rPr>
            <w:rStyle w:val="Hyperlink"/>
            <w:rFonts w:ascii="Times New Roman" w:hAnsi="Times New Roman"/>
            <w:b w:val="false"/>
            <w:i w:val="false"/>
            <w:color w:val="000000"/>
            <w:sz w:val="22"/>
          </w:rPr>
          <w:t>780.8(4)</w:t>
        </w:r>
      </w:hyperlink>
      <w:r>
        <w:rPr>
          <w:rFonts w:ascii="Times New Roman" w:hAnsi="Times New Roman"/>
          <w:b w:val="false"/>
          <w:i/>
          <w:color w:val="000000"/>
          <w:sz w:val="22"/>
        </w:rPr>
        <w: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course(s) will be the curriculum provided by the department of health and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licensee will maintain written documentation for three years after mandatory training as identified in paragraphs </w:t>
      </w:r>
      <w:hyperlink r:id="rId33">
        <w:r>
          <w:rPr>
            <w:rStyle w:val="Hyperlink"/>
            <w:rFonts w:ascii="Times New Roman" w:hAnsi="Times New Roman"/>
            <w:b w:val="false"/>
            <w:i w:val="false"/>
            <w:color w:val="000000"/>
            <w:sz w:val="22"/>
          </w:rPr>
          <w:t>780.8(4)</w:t>
        </w:r>
      </w:hyperlink>
      <w:r>
        <w:rPr>
          <w:rFonts w:ascii="Times New Roman" w:hAnsi="Times New Roman"/>
          <w:b w:val="false"/>
          <w:i/>
          <w:color w:val="000000"/>
          <w:sz w:val="22"/>
        </w:rPr>
        <w:t>“a”</w:t>
      </w:r>
      <w:r>
        <w:rPr>
          <w:rFonts w:ascii="Times New Roman" w:hAnsi="Times New Roman"/>
          <w:b w:val="false"/>
          <w:i w:val="false"/>
          <w:color w:val="000000"/>
          <w:sz w:val="22"/>
        </w:rPr>
        <w:t xml:space="preserve"> through </w:t>
      </w:r>
      <w:r>
        <w:rPr>
          <w:rFonts w:ascii="Times New Roman" w:hAnsi="Times New Roman"/>
          <w:b w:val="false"/>
          <w:i/>
          <w:color w:val="000000"/>
          <w:sz w:val="22"/>
        </w:rPr>
        <w:t>“c,”</w:t>
      </w:r>
      <w:r>
        <w:rPr>
          <w:rFonts w:ascii="Times New Roman" w:hAnsi="Times New Roman"/>
          <w:b w:val="false"/>
          <w:i w:val="false"/>
          <w:color w:val="000000"/>
          <w:sz w:val="22"/>
        </w:rPr>
        <w:t xml:space="preserve"> including program date(s), content, duration, and proof of participation.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requirement for mandatory training for identifying and reporting child and dependent adult abuse will be suspended if the board determines that suspension is in the public interest or that a person at the time of license renewal: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Is engaged in active duty in the military service of this state or the United States.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Holds a current waiver by the board based on evidence of significant hardship in complying with training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may select licensees for audit of compliance with the requirements in paragraphs </w:t>
      </w:r>
      <w:hyperlink r:id="rId34">
        <w:r>
          <w:rPr>
            <w:rStyle w:val="Hyperlink"/>
            <w:rFonts w:ascii="Times New Roman" w:hAnsi="Times New Roman"/>
            <w:b w:val="false"/>
            <w:i w:val="false"/>
            <w:color w:val="000000"/>
            <w:sz w:val="22"/>
          </w:rPr>
          <w:t>780.8(4)</w:t>
        </w:r>
      </w:hyperlink>
      <w:r>
        <w:rPr>
          <w:rFonts w:ascii="Times New Roman" w:hAnsi="Times New Roman"/>
          <w:b w:val="false"/>
          <w:i/>
          <w:color w:val="000000"/>
          <w:sz w:val="22"/>
        </w:rPr>
        <w:t>“a”</w:t>
      </w:r>
      <w:r>
        <w:rPr>
          <w:rFonts w:ascii="Times New Roman" w:hAnsi="Times New Roman"/>
          <w:b w:val="false"/>
          <w:i w:val="false"/>
          <w:color w:val="000000"/>
          <w:sz w:val="22"/>
        </w:rPr>
        <w:t xml:space="preserve"> through </w:t>
      </w:r>
      <w:r>
        <w:rPr>
          <w:rFonts w:ascii="Times New Roman" w:hAnsi="Times New Roman"/>
          <w:b w:val="false"/>
          <w:i/>
          <w:color w:val="000000"/>
          <w:sz w:val="22"/>
        </w:rPr>
        <w: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780.8(5)</w:t>
      </w:r>
      <w:r>
        <w:rPr>
          <w:rFonts w:ascii="Times New Roman" w:hAnsi="Times New Roman"/>
          <w:b w:val="false"/>
          <w:i w:val="false"/>
          <w:color w:val="000000"/>
          <w:sz w:val="22"/>
        </w:rPr>
        <w:t> </w:t>
      </w:r>
      <w:r>
        <w:rPr>
          <w:rFonts w:ascii="Times New Roman" w:hAnsi="Times New Roman"/>
          <w:b w:val="false"/>
          <w:i w:val="false"/>
          <w:color w:val="000000"/>
          <w:sz w:val="22"/>
        </w:rPr>
        <w:t>Upon receiving the information required by this rule and the required fee, a two-year license will be issued.  In the event the board receives adverse information on the renewal application, the board will issue the renewal license but may refer the adverse information for further consideration or disciplinary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780.8(6)</w:t>
      </w:r>
      <w:r>
        <w:rPr>
          <w:rFonts w:ascii="Times New Roman" w:hAnsi="Times New Roman"/>
          <w:b w:val="false"/>
          <w:i w:val="false"/>
          <w:color w:val="000000"/>
          <w:sz w:val="22"/>
        </w:rPr>
        <w:t> </w:t>
      </w:r>
      <w:r>
        <w:rPr>
          <w:rFonts w:ascii="Times New Roman" w:hAnsi="Times New Roman"/>
          <w:b w:val="false"/>
          <w:i w:val="false"/>
          <w:color w:val="000000"/>
          <w:sz w:val="22"/>
        </w:rPr>
        <w:t>A person licensed to practice as a physician associate will keep the license certificate and renewal displayed in a conspicuous public place at the primary site of practice.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780.8(7)</w:t>
      </w:r>
      <w:r>
        <w:rPr>
          <w:rFonts w:ascii="Times New Roman" w:hAnsi="Times New Roman"/>
          <w:b w:val="false"/>
          <w:i w:val="false"/>
          <w:color w:val="000000"/>
          <w:sz w:val="22"/>
        </w:rPr>
        <w:t> </w:t>
      </w:r>
      <w:r>
        <w:rPr>
          <w:rFonts w:ascii="Times New Roman" w:hAnsi="Times New Roman"/>
          <w:b w:val="false"/>
          <w:i w:val="false"/>
          <w:color w:val="000000"/>
          <w:sz w:val="22"/>
        </w:rPr>
        <w:t xml:space="preserve">Late renewal. The license will become late when the license has not been renewed by the expiration date on the renewal. A licensee will be assessed a late fee as specified in </w:t>
      </w:r>
      <w:hyperlink r:id="rId35">
        <w:r>
          <w:rPr>
            <w:rStyle w:val="Hyperlink"/>
            <w:rFonts w:ascii="Times New Roman" w:hAnsi="Times New Roman"/>
            <w:b w:val="false"/>
            <w:i w:val="false"/>
            <w:color w:val="000000"/>
            <w:sz w:val="22"/>
          </w:rPr>
          <w:t>481—subrule 507.14(4)</w:t>
        </w:r>
      </w:hyperlink>
      <w:r>
        <w:rPr>
          <w:rFonts w:ascii="Times New Roman" w:hAnsi="Times New Roman"/>
          <w:b w:val="false"/>
          <w:i w:val="false"/>
          <w:color w:val="000000"/>
          <w:sz w:val="22"/>
        </w:rPr>
        <w:t>. To renew a late license, the licensee will complete the renewal requirements and submit the late fee within the grace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780.8(8)</w:t>
      </w:r>
      <w:r>
        <w:rPr>
          <w:rFonts w:ascii="Times New Roman" w:hAnsi="Times New Roman"/>
          <w:b w:val="false"/>
          <w:i w:val="false"/>
          <w:color w:val="000000"/>
          <w:sz w:val="22"/>
        </w:rPr>
        <w:t> </w:t>
      </w:r>
      <w:r>
        <w:rPr>
          <w:rFonts w:ascii="Times New Roman" w:hAnsi="Times New Roman"/>
          <w:b w:val="false"/>
          <w:i w:val="false"/>
          <w:color w:val="000000"/>
          <w:sz w:val="22"/>
        </w:rPr>
        <w:t xml:space="preserve">Inactive license. A licensee who fails to renew the license by the end of the grace period has an inactive license. A licensee whose license is inactive continues to hold the privilege of licensure in Iowa but may not practice as a physician associate in Iowa until the license is reactivated. A licensee who practices as a physician associate in the state of Iowa with an inactive license may be subject to disciplinary action by the board, injunctive action pursuant to Iowa Code section </w:t>
      </w:r>
      <w:hyperlink r:id="rId36">
        <w:r>
          <w:rPr>
            <w:rStyle w:val="Hyperlink"/>
            <w:rFonts w:ascii="Times New Roman" w:hAnsi="Times New Roman"/>
            <w:b w:val="false"/>
            <w:i w:val="false"/>
            <w:color w:val="000000"/>
            <w:sz w:val="22"/>
          </w:rPr>
          <w:t>147.83</w:t>
        </w:r>
      </w:hyperlink>
      <w:r>
        <w:rPr>
          <w:rFonts w:ascii="Times New Roman" w:hAnsi="Times New Roman"/>
          <w:b w:val="false"/>
          <w:i w:val="false"/>
          <w:color w:val="000000"/>
          <w:sz w:val="22"/>
        </w:rPr>
        <w:t xml:space="preserve">, criminal sanctions pursuant to Iowa Code section </w:t>
      </w:r>
      <w:hyperlink r:id="rId37">
        <w:r>
          <w:rPr>
            <w:rStyle w:val="Hyperlink"/>
            <w:rFonts w:ascii="Times New Roman" w:hAnsi="Times New Roman"/>
            <w:b w:val="false"/>
            <w:i w:val="false"/>
            <w:color w:val="000000"/>
            <w:sz w:val="22"/>
          </w:rPr>
          <w:t>147.86</w:t>
        </w:r>
      </w:hyperlink>
      <w:r>
        <w:rPr>
          <w:rFonts w:ascii="Times New Roman" w:hAnsi="Times New Roman"/>
          <w:b w:val="false"/>
          <w:i w:val="false"/>
          <w:color w:val="000000"/>
          <w:sz w:val="22"/>
        </w:rPr>
        <w:t>, and other available legal remedies.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9536C</w:t>
      </w:r>
      <w:r>
        <w:rPr>
          <w:rFonts w:ascii="Times New Roman" w:hAnsi="Times New Roman"/>
          <w:b w:val="false"/>
          <w:i w:val="false"/>
          <w:color w:val="000000"/>
          <w:sz w:val="16"/>
        </w:rPr>
        <w:t>, IAB 9/3/25, effective 10/8/25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481—780.9</w:t>
      </w:r>
      <w:r>
        <w:rPr>
          <w:rFonts w:ascii="Times New Roman" w:hAnsi="Times New Roman"/>
          <w:b/>
          <w:i w:val="false"/>
          <w:color w:val="000000"/>
          <w:sz w:val="22"/>
        </w:rPr>
        <w:t xml:space="preserve">(17A,147,272C) </w:t>
      </w:r>
      <w:r>
        <w:rPr>
          <w:rFonts w:ascii="Times New Roman" w:hAnsi="Times New Roman"/>
          <w:b/>
          <w:i w:val="false"/>
          <w:color w:val="000000"/>
          <w:sz w:val="22"/>
        </w:rPr>
        <w:t xml:space="preserve">Requirements for reactivation. </w:t>
      </w:r>
      <w:r>
        <w:rPr>
          <w:rFonts w:ascii="Times New Roman" w:hAnsi="Times New Roman"/>
          <w:b w:val="false"/>
          <w:i w:val="false"/>
          <w:color w:val="000000"/>
          <w:sz w:val="22"/>
        </w:rPr>
        <w:t>To apply for reactivation, a licensee will: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780.9(1)</w:t>
      </w:r>
      <w:r>
        <w:rPr>
          <w:rFonts w:ascii="Times New Roman" w:hAnsi="Times New Roman"/>
          <w:b w:val="false"/>
          <w:i w:val="false"/>
          <w:color w:val="000000"/>
          <w:sz w:val="22"/>
        </w:rPr>
        <w:t> </w:t>
      </w:r>
      <w:r>
        <w:rPr>
          <w:rFonts w:ascii="Times New Roman" w:hAnsi="Times New Roman"/>
          <w:b w:val="false"/>
          <w:i w:val="false"/>
          <w:color w:val="000000"/>
          <w:sz w:val="22"/>
        </w:rPr>
        <w:t>Complete an online reactivation application and pay the nonrefundable reactivation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780.9(2)</w:t>
      </w:r>
      <w:r>
        <w:rPr>
          <w:rFonts w:ascii="Times New Roman" w:hAnsi="Times New Roman"/>
          <w:b w:val="false"/>
          <w:i w:val="false"/>
          <w:color w:val="000000"/>
          <w:sz w:val="22"/>
        </w:rPr>
        <w:t> </w:t>
      </w:r>
      <w:r>
        <w:rPr>
          <w:rFonts w:ascii="Times New Roman" w:hAnsi="Times New Roman"/>
          <w:b w:val="false"/>
          <w:i w:val="false"/>
          <w:color w:val="000000"/>
          <w:sz w:val="22"/>
        </w:rPr>
        <w:t>Provide verification of current competence to practice as a physician associate by satisfying one of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license has been on inactive status for five years or less, an applicant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Submit a license verification document that discloses if disciplinary action was taken in the jurisdiction where the applicant was most recently licensed.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Submit proof of completing 100 hours of continuing education within two years of application for reactivation or NCCPA or successor agency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license has been on inactive status for more than five years, an applicant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Submit a license verification document that discloses if disciplinary action was taken against the applicant from every jurisdiction in which the applicant has been licensed.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Submit proof of completing 200 hours of continuing education within two years of application for reactivation, of which at least 40 percent of the hours completed will be in Category I, or NCCPA or successor agency certification.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9536C</w:t>
      </w:r>
      <w:r>
        <w:rPr>
          <w:rFonts w:ascii="Times New Roman" w:hAnsi="Times New Roman"/>
          <w:b w:val="false"/>
          <w:i w:val="false"/>
          <w:color w:val="000000"/>
          <w:sz w:val="16"/>
        </w:rPr>
        <w:t>, IAB 9/3/25, effective 10/8/25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481—780.10</w:t>
      </w:r>
      <w:r>
        <w:rPr>
          <w:rFonts w:ascii="Times New Roman" w:hAnsi="Times New Roman"/>
          <w:b/>
          <w:i w:val="false"/>
          <w:color w:val="000000"/>
          <w:sz w:val="22"/>
        </w:rPr>
        <w:t xml:space="preserve">(17A,147,272C) </w:t>
      </w:r>
      <w:r>
        <w:rPr>
          <w:rFonts w:ascii="Times New Roman" w:hAnsi="Times New Roman"/>
          <w:b/>
          <w:i w:val="false"/>
          <w:color w:val="000000"/>
          <w:sz w:val="22"/>
        </w:rPr>
        <w:t xml:space="preserve">License reinstatement. </w:t>
      </w:r>
      <w:r>
        <w:rPr>
          <w:rFonts w:ascii="Times New Roman" w:hAnsi="Times New Roman"/>
          <w:b w:val="false"/>
          <w:i w:val="false"/>
          <w:color w:val="000000"/>
          <w:sz w:val="22"/>
        </w:rPr>
        <w:t xml:space="preserve">A licensee whose license has been revoked, suspended, or voluntarily surrendered must apply for and receive reinstatement of the license in accordance with rule </w:t>
      </w:r>
      <w:hyperlink r:id="rId38">
        <w:r>
          <w:rPr>
            <w:rStyle w:val="Hyperlink"/>
            <w:rFonts w:ascii="Times New Roman" w:hAnsi="Times New Roman"/>
            <w:b w:val="false"/>
            <w:i w:val="false"/>
            <w:color w:val="000000"/>
            <w:sz w:val="22"/>
          </w:rPr>
          <w:t>481—506.31</w:t>
        </w:r>
      </w:hyperlink>
      <w:r>
        <w:rPr>
          <w:rFonts w:ascii="Times New Roman" w:hAnsi="Times New Roman"/>
          <w:b w:val="false"/>
          <w:i w:val="false"/>
          <w:color w:val="000000"/>
          <w:sz w:val="22"/>
        </w:rPr>
        <w:t xml:space="preserve">(272C) and must apply for and be granted reactivation of the license in accordance with rule </w:t>
      </w:r>
      <w:hyperlink r:id="rId39">
        <w:r>
          <w:rPr>
            <w:rStyle w:val="Hyperlink"/>
            <w:rFonts w:ascii="Times New Roman" w:hAnsi="Times New Roman"/>
            <w:b w:val="false"/>
            <w:i w:val="false"/>
            <w:color w:val="000000"/>
            <w:sz w:val="22"/>
          </w:rPr>
          <w:t>481—780.9</w:t>
        </w:r>
      </w:hyperlink>
      <w:r>
        <w:rPr>
          <w:rFonts w:ascii="Times New Roman" w:hAnsi="Times New Roman"/>
          <w:b w:val="false"/>
          <w:i w:val="false"/>
          <w:color w:val="000000"/>
          <w:sz w:val="22"/>
        </w:rPr>
        <w:t>(17A,147,272C) prior to practicing as a physician associate in this state.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9536C</w:t>
      </w:r>
      <w:r>
        <w:rPr>
          <w:rFonts w:ascii="Times New Roman" w:hAnsi="Times New Roman"/>
          <w:b w:val="false"/>
          <w:i w:val="false"/>
          <w:color w:val="000000"/>
          <w:sz w:val="16"/>
        </w:rPr>
        <w:t>, IAB 9/3/25, effective 10/8/25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481—780.11</w:t>
      </w:r>
      <w:r>
        <w:rPr>
          <w:rFonts w:ascii="Times New Roman" w:hAnsi="Times New Roman"/>
          <w:b/>
          <w:i w:val="false"/>
          <w:color w:val="000000"/>
          <w:sz w:val="22"/>
        </w:rPr>
        <w:t xml:space="preserve">(148C) </w:t>
      </w:r>
      <w:r>
        <w:rPr>
          <w:rFonts w:ascii="Times New Roman" w:hAnsi="Times New Roman"/>
          <w:b/>
          <w:i w:val="false"/>
          <w:color w:val="000000"/>
          <w:sz w:val="22"/>
        </w:rPr>
        <w:t xml:space="preserve">Use of title. </w:t>
      </w:r>
      <w:r>
        <w:rPr>
          <w:rFonts w:ascii="Times New Roman" w:hAnsi="Times New Roman"/>
          <w:b w:val="false"/>
          <w:i w:val="false"/>
          <w:color w:val="000000"/>
          <w:sz w:val="22"/>
        </w:rPr>
        <w:t xml:space="preserve">A physician associate licensed under Iowa Code chapter </w:t>
      </w:r>
      <w:hyperlink r:id="rId40">
        <w:r>
          <w:rPr>
            <w:rStyle w:val="Hyperlink"/>
            <w:rFonts w:ascii="Times New Roman" w:hAnsi="Times New Roman"/>
            <w:b w:val="false"/>
            <w:i w:val="false"/>
            <w:color w:val="000000"/>
            <w:sz w:val="22"/>
          </w:rPr>
          <w:t>148C</w:t>
        </w:r>
      </w:hyperlink>
      <w:r>
        <w:rPr>
          <w:rFonts w:ascii="Times New Roman" w:hAnsi="Times New Roman"/>
          <w:b w:val="false"/>
          <w:i w:val="false"/>
          <w:color w:val="000000"/>
          <w:sz w:val="22"/>
        </w:rPr>
        <w:t xml:space="preserve"> may use the words “physician associate” after the person’s name or signify the same by the use of the letters “PA.” A person who meets the qualifications for licensure under Iowa Code chapter </w:t>
      </w:r>
      <w:hyperlink r:id="rId41">
        <w:r>
          <w:rPr>
            <w:rStyle w:val="Hyperlink"/>
            <w:rFonts w:ascii="Times New Roman" w:hAnsi="Times New Roman"/>
            <w:b w:val="false"/>
            <w:i w:val="false"/>
            <w:color w:val="000000"/>
            <w:sz w:val="22"/>
          </w:rPr>
          <w:t>148C</w:t>
        </w:r>
      </w:hyperlink>
      <w:r>
        <w:rPr>
          <w:rFonts w:ascii="Times New Roman" w:hAnsi="Times New Roman"/>
          <w:b w:val="false"/>
          <w:i w:val="false"/>
          <w:color w:val="000000"/>
          <w:sz w:val="22"/>
        </w:rPr>
        <w:t xml:space="preserve"> but does not possess a current license may use the title “PA” or “physician associate” but may not act or practice as a physician associate unless licensed under Iowa Code chapter </w:t>
      </w:r>
      <w:hyperlink r:id="rId42">
        <w:r>
          <w:rPr>
            <w:rStyle w:val="Hyperlink"/>
            <w:rFonts w:ascii="Times New Roman" w:hAnsi="Times New Roman"/>
            <w:b w:val="false"/>
            <w:i w:val="false"/>
            <w:color w:val="000000"/>
            <w:sz w:val="22"/>
          </w:rPr>
          <w:t>148C</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9536C</w:t>
      </w:r>
      <w:r>
        <w:rPr>
          <w:rFonts w:ascii="Times New Roman" w:hAnsi="Times New Roman"/>
          <w:b w:val="false"/>
          <w:i w:val="false"/>
          <w:color w:val="000000"/>
          <w:sz w:val="16"/>
        </w:rPr>
        <w:t>, IAB 9/3/25, effective 10/8/25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481—780.12</w:t>
      </w:r>
      <w:r>
        <w:rPr>
          <w:rFonts w:ascii="Times New Roman" w:hAnsi="Times New Roman"/>
          <w:b/>
          <w:i w:val="false"/>
          <w:color w:val="000000"/>
          <w:sz w:val="22"/>
        </w:rPr>
        <w:t xml:space="preserve">(148C) </w:t>
      </w:r>
      <w:r>
        <w:rPr>
          <w:rFonts w:ascii="Times New Roman" w:hAnsi="Times New Roman"/>
          <w:b/>
          <w:i w:val="false"/>
          <w:color w:val="000000"/>
          <w:sz w:val="22"/>
        </w:rPr>
        <w:t xml:space="preserve">Address change. </w:t>
      </w:r>
      <w:r>
        <w:rPr>
          <w:rFonts w:ascii="Times New Roman" w:hAnsi="Times New Roman"/>
          <w:b w:val="false"/>
          <w:i w:val="false"/>
          <w:color w:val="000000"/>
          <w:sz w:val="22"/>
        </w:rPr>
        <w:t>A physician associate will notify the board of any change in permanent address within 30 days of its occurrence.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9536C</w:t>
      </w:r>
      <w:r>
        <w:rPr>
          <w:rFonts w:ascii="Times New Roman" w:hAnsi="Times New Roman"/>
          <w:b w:val="false"/>
          <w:i w:val="false"/>
          <w:color w:val="000000"/>
          <w:sz w:val="16"/>
        </w:rPr>
        <w:t>, IAB 9/3/25, effective 10/8/25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481—780.13</w:t>
      </w:r>
      <w:r>
        <w:rPr>
          <w:rFonts w:ascii="Times New Roman" w:hAnsi="Times New Roman"/>
          <w:b/>
          <w:i w:val="false"/>
          <w:color w:val="000000"/>
          <w:sz w:val="22"/>
        </w:rPr>
        <w:t xml:space="preserve">(148C) </w:t>
      </w:r>
      <w:r>
        <w:rPr>
          <w:rFonts w:ascii="Times New Roman" w:hAnsi="Times New Roman"/>
          <w:b/>
          <w:i w:val="false"/>
          <w:color w:val="000000"/>
          <w:sz w:val="22"/>
        </w:rPr>
        <w:t xml:space="preserve">Student physician associate.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780.13(1)</w:t>
      </w:r>
      <w:r>
        <w:rPr>
          <w:rFonts w:ascii="Times New Roman" w:hAnsi="Times New Roman"/>
          <w:b w:val="false"/>
          <w:i w:val="false"/>
          <w:color w:val="000000"/>
          <w:sz w:val="22"/>
        </w:rPr>
        <w:t> </w:t>
      </w:r>
      <w:r>
        <w:rPr>
          <w:rFonts w:ascii="Times New Roman" w:hAnsi="Times New Roman"/>
          <w:b w:val="false"/>
          <w:i w:val="false"/>
          <w:color w:val="000000"/>
          <w:sz w:val="22"/>
        </w:rPr>
        <w:t>Any person who is enrolled as a student in an approved program will comply with the rules set forth in this chapter. A student is exempted from licensure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780.13(2)</w:t>
      </w:r>
      <w:r>
        <w:rPr>
          <w:rFonts w:ascii="Times New Roman" w:hAnsi="Times New Roman"/>
          <w:b w:val="false"/>
          <w:i w:val="false"/>
          <w:color w:val="000000"/>
          <w:sz w:val="22"/>
        </w:rPr>
        <w:t> </w:t>
      </w:r>
      <w:r>
        <w:rPr>
          <w:rFonts w:ascii="Times New Roman" w:hAnsi="Times New Roman"/>
          <w:b w:val="false"/>
          <w:i w:val="false"/>
          <w:color w:val="000000"/>
          <w:sz w:val="22"/>
        </w:rPr>
        <w:t>Notwithstanding any other provisions of these rules, a student may perform medical services when the medical services are rendered within the scope of an approved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9536C</w:t>
      </w:r>
      <w:r>
        <w:rPr>
          <w:rFonts w:ascii="Times New Roman" w:hAnsi="Times New Roman"/>
          <w:b w:val="false"/>
          <w:i w:val="false"/>
          <w:color w:val="000000"/>
          <w:sz w:val="16"/>
        </w:rPr>
        <w:t>, IAB 9/3/25, effective 10/8/25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43">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44">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45">
        <w:r>
          <w:rPr>
            <w:rStyle w:val="Hyperlink"/>
            <w:rFonts w:ascii="Times New Roman" w:hAnsi="Times New Roman"/>
            <w:b w:val="false"/>
            <w:i w:val="false"/>
            <w:color w:val="000000"/>
            <w:sz w:val="22"/>
          </w:rPr>
          <w:t>148C</w:t>
        </w:r>
      </w:hyperlink>
      <w:r>
        <w:rPr>
          <w:rFonts w:ascii="Times New Roman" w:hAnsi="Times New Roman"/>
          <w:b w:val="false"/>
          <w:i w:val="false"/>
          <w:color w:val="000000"/>
          <w:sz w:val="22"/>
        </w:rPr>
        <w:t xml:space="preserve"> and </w:t>
      </w:r>
      <w:hyperlink r:id="rId46">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7/19/02, Notice 4/3/02—published 8/7/02, effective 9/11/02]</w:t>
      </w:r>
    </w:p>
    <w:p>
      <w:pPr>
        <w:spacing w:before="0" w:after="0"/>
        <w:ind w:left="120"/>
        <w:jc w:val="center"/>
      </w:pPr>
      <w:r>
        <w:rPr>
          <w:rFonts w:ascii="Times New Roman" w:hAnsi="Times New Roman"/>
          <w:b w:val="false"/>
          <w:i w:val="false"/>
          <w:color w:val="000000"/>
          <w:sz w:val="21"/>
        </w:rPr>
        <w:t>[Filed emergency 7/18/03—published 8/6/03, effective 7/18/03]</w:t>
      </w:r>
    </w:p>
    <w:p>
      <w:pPr>
        <w:spacing w:before="0" w:after="0"/>
        <w:ind w:left="120"/>
        <w:jc w:val="center"/>
      </w:pPr>
      <w:r>
        <w:rPr>
          <w:rFonts w:ascii="Times New Roman" w:hAnsi="Times New Roman"/>
          <w:b w:val="false"/>
          <w:i w:val="false"/>
          <w:color w:val="000000"/>
          <w:sz w:val="21"/>
        </w:rPr>
        <w:t>[Filed 4/22/04, Notice 2/18/04—published 5/12/04, effective 6/16/04]</w:t>
      </w:r>
      <w:r>
        <w:rPr>
          <w:rFonts w:ascii="Times New Roman" w:hAnsi="Times New Roman"/>
          <w:b w:val="false"/>
          <w:i w:val="false"/>
          <w:color w:val="000000"/>
          <w:sz w:val="14"/>
        </w:rPr>
        <w:t>◊</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1/19/05, Notice 11/10/04—published 2/16/05, effective 3/23/05]</w:t>
      </w:r>
    </w:p>
    <w:p>
      <w:pPr>
        <w:spacing w:before="0" w:after="0"/>
        <w:ind w:left="120"/>
        <w:jc w:val="center"/>
      </w:pPr>
      <w:r>
        <w:rPr>
          <w:rFonts w:ascii="Times New Roman" w:hAnsi="Times New Roman"/>
          <w:b w:val="false"/>
          <w:i w:val="false"/>
          <w:color w:val="000000"/>
          <w:sz w:val="21"/>
        </w:rPr>
        <w:t>[Filed 7/21/05, Notice 5/11/05—published 8/17/05, effective 9/21/05]</w:t>
      </w:r>
    </w:p>
    <w:p>
      <w:pPr>
        <w:spacing w:before="0" w:after="0"/>
        <w:ind w:left="120"/>
        <w:jc w:val="center"/>
      </w:pPr>
      <w:r>
        <w:rPr>
          <w:rFonts w:ascii="Times New Roman" w:hAnsi="Times New Roman"/>
          <w:b w:val="false"/>
          <w:i w:val="false"/>
          <w:color w:val="000000"/>
          <w:sz w:val="21"/>
        </w:rPr>
        <w:t>[Filed 4/20/06, Notice 2/15/06—published 5/10/06, effective 6/14/06]</w:t>
      </w:r>
    </w:p>
    <w:p>
      <w:pPr>
        <w:spacing w:before="0" w:after="0"/>
        <w:ind w:left="120"/>
        <w:jc w:val="center"/>
      </w:pPr>
      <w:r>
        <w:rPr>
          <w:rFonts w:ascii="Times New Roman" w:hAnsi="Times New Roman"/>
          <w:b w:val="false"/>
          <w:i w:val="false"/>
          <w:color w:val="000000"/>
          <w:sz w:val="21"/>
        </w:rPr>
        <w:t>[Filed 1/18/07, Notice 11/8/06—published 2/14/07, effective 3/21/07]</w:t>
      </w:r>
    </w:p>
    <w:p>
      <w:pPr>
        <w:spacing w:before="0" w:after="0"/>
        <w:ind w:left="120"/>
        <w:jc w:val="center"/>
      </w:pPr>
      <w:r>
        <w:rPr>
          <w:rFonts w:ascii="Times New Roman" w:hAnsi="Times New Roman"/>
          <w:b w:val="false"/>
          <w:i w:val="false"/>
          <w:color w:val="000000"/>
          <w:sz w:val="21"/>
        </w:rPr>
        <w:t>[Filed 2/5/07, Notice 11/8/06—published 2/28/07, effective 4/4/07]</w:t>
      </w:r>
    </w:p>
    <w:p>
      <w:pPr>
        <w:spacing w:before="0" w:after="0"/>
        <w:ind w:left="120"/>
        <w:jc w:val="center"/>
      </w:pPr>
      <w:r>
        <w:rPr>
          <w:rFonts w:ascii="Times New Roman" w:hAnsi="Times New Roman"/>
          <w:b w:val="false"/>
          <w:i w:val="false"/>
          <w:color w:val="000000"/>
          <w:sz w:val="21"/>
        </w:rPr>
        <w:t>[Filed 10/19/07, Notice 8/15/07—published 11/7/07, effective 12/12/07]</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7/17/08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5/7/08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8/13/08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9/17/08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9665B</w:t>
      </w:r>
      <w:r>
        <w:rPr>
          <w:rFonts w:ascii="Times New Roman" w:hAnsi="Times New Roman"/>
          <w:b w:val="false"/>
          <w:i w:val="false"/>
          <w:color w:val="000000"/>
          <w:sz w:val="21"/>
        </w:rPr>
        <w:t xml:space="preserve"> (Notice ARC 9549B, IAB 6/1/11)</w:t>
      </w:r>
      <w:r>
        <w:rPr>
          <w:rFonts w:ascii="Times New Roman" w:hAnsi="Times New Roman"/>
          <w:b w:val="false"/>
          <w:i w:val="false"/>
          <w:color w:val="000000"/>
          <w:sz w:val="21"/>
        </w:rPr>
        <w:t>, IAB 8/10/11, effective 9/14/11]</w:t>
      </w:r>
    </w:p>
    <w:p>
      <w:pPr>
        <w:spacing w:before="0" w:after="0"/>
        <w:ind w:left="120"/>
        <w:jc w:val="center"/>
      </w:pPr>
      <w:r>
        <w:rPr>
          <w:rFonts w:ascii="Times New Roman" w:hAnsi="Times New Roman"/>
          <w:b w:val="false"/>
          <w:i w:val="false"/>
          <w:color w:val="000000"/>
          <w:sz w:val="21"/>
        </w:rPr>
        <w:t>[Filed ARC 0462C</w:t>
      </w:r>
      <w:r>
        <w:rPr>
          <w:rFonts w:ascii="Times New Roman" w:hAnsi="Times New Roman"/>
          <w:b w:val="false"/>
          <w:i w:val="false"/>
          <w:color w:val="000000"/>
          <w:sz w:val="21"/>
        </w:rPr>
        <w:t xml:space="preserve"> (Notice ARC 0283C, IAB 8/22/12)</w:t>
      </w:r>
      <w:r>
        <w:rPr>
          <w:rFonts w:ascii="Times New Roman" w:hAnsi="Times New Roman"/>
          <w:b w:val="false"/>
          <w:i w:val="false"/>
          <w:color w:val="000000"/>
          <w:sz w:val="21"/>
        </w:rPr>
        <w:t>, IAB 11/28/12, effective 1/2/13]</w:t>
      </w:r>
    </w:p>
    <w:p>
      <w:pPr>
        <w:spacing w:before="0" w:after="0"/>
        <w:ind w:left="120"/>
        <w:jc w:val="center"/>
      </w:pPr>
      <w:r>
        <w:rPr>
          <w:rFonts w:ascii="Times New Roman" w:hAnsi="Times New Roman"/>
          <w:b w:val="false"/>
          <w:i w:val="false"/>
          <w:color w:val="000000"/>
          <w:sz w:val="21"/>
        </w:rPr>
        <w:t>[Filed ARC 4299C</w:t>
      </w:r>
      <w:r>
        <w:rPr>
          <w:rFonts w:ascii="Times New Roman" w:hAnsi="Times New Roman"/>
          <w:b w:val="false"/>
          <w:i w:val="false"/>
          <w:color w:val="000000"/>
          <w:sz w:val="21"/>
        </w:rPr>
        <w:t xml:space="preserve"> (Notice ARC 4128C, IAB 11/21/18)</w:t>
      </w:r>
      <w:r>
        <w:rPr>
          <w:rFonts w:ascii="Times New Roman" w:hAnsi="Times New Roman"/>
          <w:b w:val="false"/>
          <w:i w:val="false"/>
          <w:color w:val="000000"/>
          <w:sz w:val="21"/>
        </w:rPr>
        <w:t>, IAB 2/13/19, effective 3/20/19]</w:t>
      </w:r>
    </w:p>
    <w:p>
      <w:pPr>
        <w:spacing w:before="0" w:after="0"/>
        <w:ind w:left="120"/>
        <w:jc w:val="center"/>
      </w:pPr>
      <w:r>
        <w:rPr>
          <w:rFonts w:ascii="Times New Roman" w:hAnsi="Times New Roman"/>
          <w:b w:val="false"/>
          <w:i w:val="false"/>
          <w:color w:val="000000"/>
          <w:sz w:val="21"/>
        </w:rPr>
        <w:t>[Filed ARC 4952C</w:t>
      </w:r>
      <w:r>
        <w:rPr>
          <w:rFonts w:ascii="Times New Roman" w:hAnsi="Times New Roman"/>
          <w:b w:val="false"/>
          <w:i w:val="false"/>
          <w:color w:val="000000"/>
          <w:sz w:val="21"/>
        </w:rPr>
        <w:t xml:space="preserve"> (Notice ARC 4662C, IAB 9/25/19)</w:t>
      </w:r>
      <w:r>
        <w:rPr>
          <w:rFonts w:ascii="Times New Roman" w:hAnsi="Times New Roman"/>
          <w:b w:val="false"/>
          <w:i w:val="false"/>
          <w:color w:val="000000"/>
          <w:sz w:val="21"/>
        </w:rPr>
        <w:t>, IAB 2/26/20, effective 4/1/20]</w:t>
      </w:r>
    </w:p>
    <w:p>
      <w:pPr>
        <w:spacing w:before="0" w:after="0"/>
        <w:ind w:left="120"/>
        <w:jc w:val="center"/>
      </w:pPr>
      <w:r>
        <w:rPr>
          <w:rFonts w:ascii="Times New Roman" w:hAnsi="Times New Roman"/>
          <w:b w:val="false"/>
          <w:i w:val="false"/>
          <w:color w:val="000000"/>
          <w:sz w:val="21"/>
        </w:rPr>
        <w:t>[Filed ARC 5177C</w:t>
      </w:r>
      <w:r>
        <w:rPr>
          <w:rFonts w:ascii="Times New Roman" w:hAnsi="Times New Roman"/>
          <w:b w:val="false"/>
          <w:i w:val="false"/>
          <w:color w:val="000000"/>
          <w:sz w:val="21"/>
        </w:rPr>
        <w:t xml:space="preserve"> (Notice ARC 5043C, IAB 6/3/20)</w:t>
      </w:r>
      <w:r>
        <w:rPr>
          <w:rFonts w:ascii="Times New Roman" w:hAnsi="Times New Roman"/>
          <w:b w:val="false"/>
          <w:i w:val="false"/>
          <w:color w:val="000000"/>
          <w:sz w:val="21"/>
        </w:rPr>
        <w:t>, IAB 9/9/20, effective 10/14/20]</w:t>
      </w:r>
    </w:p>
    <w:p>
      <w:pPr>
        <w:spacing w:before="0" w:after="0"/>
        <w:ind w:left="120"/>
        <w:jc w:val="center"/>
      </w:pPr>
      <w:r>
        <w:rPr>
          <w:rFonts w:ascii="Times New Roman" w:hAnsi="Times New Roman"/>
          <w:b w:val="false"/>
          <w:i w:val="false"/>
          <w:color w:val="000000"/>
          <w:sz w:val="21"/>
        </w:rPr>
        <w:t>[Filed ARC 5752C</w:t>
      </w:r>
      <w:r>
        <w:rPr>
          <w:rFonts w:ascii="Times New Roman" w:hAnsi="Times New Roman"/>
          <w:b w:val="false"/>
          <w:i w:val="false"/>
          <w:color w:val="000000"/>
          <w:sz w:val="21"/>
        </w:rPr>
        <w:t xml:space="preserve"> (Notice ARC 5368C, IAB 12/30/20)</w:t>
      </w:r>
      <w:r>
        <w:rPr>
          <w:rFonts w:ascii="Times New Roman" w:hAnsi="Times New Roman"/>
          <w:b w:val="false"/>
          <w:i w:val="false"/>
          <w:color w:val="000000"/>
          <w:sz w:val="21"/>
        </w:rPr>
        <w:t>, IAB 7/14/21, effective 8/18/21]</w:t>
      </w:r>
    </w:p>
    <w:p>
      <w:pPr>
        <w:spacing w:before="0" w:after="0"/>
        <w:ind w:left="120"/>
        <w:jc w:val="center"/>
      </w:pPr>
      <w:r>
        <w:rPr>
          <w:rFonts w:ascii="Times New Roman" w:hAnsi="Times New Roman"/>
          <w:b w:val="false"/>
          <w:i w:val="false"/>
          <w:color w:val="000000"/>
          <w:sz w:val="21"/>
        </w:rPr>
        <w:t>[Filed ARC 6896C</w:t>
      </w:r>
      <w:r>
        <w:rPr>
          <w:rFonts w:ascii="Times New Roman" w:hAnsi="Times New Roman"/>
          <w:b w:val="false"/>
          <w:i w:val="false"/>
          <w:color w:val="000000"/>
          <w:sz w:val="21"/>
        </w:rPr>
        <w:t xml:space="preserve"> (Notice ARC 6664C, IAB 11/16/22)</w:t>
      </w:r>
      <w:r>
        <w:rPr>
          <w:rFonts w:ascii="Times New Roman" w:hAnsi="Times New Roman"/>
          <w:b w:val="false"/>
          <w:i w:val="false"/>
          <w:color w:val="000000"/>
          <w:sz w:val="21"/>
        </w:rPr>
        <w:t>, IAB 2/22/23, effective 3/29/23]</w:t>
      </w:r>
    </w:p>
    <w:p>
      <w:pPr>
        <w:spacing w:before="0" w:after="0"/>
        <w:ind w:left="120"/>
        <w:jc w:val="center"/>
      </w:pPr>
      <w:r>
        <w:rPr>
          <w:rFonts w:ascii="Times New Roman" w:hAnsi="Times New Roman"/>
          <w:b w:val="false"/>
          <w:i w:val="false"/>
          <w:color w:val="000000"/>
          <w:sz w:val="21"/>
        </w:rPr>
        <w:t>[Editorial change: IAC Supplement 9/18/24]</w:t>
      </w:r>
    </w:p>
    <w:p>
      <w:pPr>
        <w:spacing w:before="0" w:after="0"/>
        <w:ind w:left="120"/>
        <w:jc w:val="center"/>
      </w:pPr>
      <w:r>
        <w:rPr>
          <w:rFonts w:ascii="Times New Roman" w:hAnsi="Times New Roman"/>
          <w:b w:val="false"/>
          <w:i w:val="false"/>
          <w:color w:val="000000"/>
          <w:sz w:val="21"/>
        </w:rPr>
        <w:t>[Filed ARC 9536C</w:t>
      </w:r>
      <w:r>
        <w:rPr>
          <w:rFonts w:ascii="Times New Roman" w:hAnsi="Times New Roman"/>
          <w:b w:val="false"/>
          <w:i w:val="false"/>
          <w:color w:val="000000"/>
          <w:sz w:val="21"/>
        </w:rPr>
        <w:t xml:space="preserve"> (Notice ARC 9377C, IAB 6/25/25)</w:t>
      </w:r>
      <w:r>
        <w:rPr>
          <w:rFonts w:ascii="Times New Roman" w:hAnsi="Times New Roman"/>
          <w:b w:val="false"/>
          <w:i w:val="false"/>
          <w:color w:val="000000"/>
          <w:sz w:val="21"/>
        </w:rPr>
        <w:t>, IAB 9/3/25, effective 10/8/25]</w:t>
      </w:r>
    </w:p>
    <w:p>
      <w:pPr>
        <w:spacing w:before="0" w:after="0"/>
        <w:ind w:left="120"/>
        <w:jc w:val="center"/>
      </w:pPr>
      <w:r>
        <w:rPr>
          <w:rFonts w:ascii="Times New Roman" w:hAnsi="Times New Roman"/>
          <w:b w:val="false"/>
          <w:i w:val="false"/>
          <w:color w:val="000000"/>
          <w:sz w:val="21"/>
        </w:rPr>
        <w:t>[Editorial change: IAC Supplement 10/29/25]</w:t>
      </w:r>
    </w:p>
    <w:p>
      <w:pPr>
        <w:spacing w:before="0" w:after="0"/>
        <w:ind w:left="120"/>
        <w:jc w:val="center"/>
      </w:pPr>
      <w:r>
        <w:rPr>
          <w:rFonts w:ascii="Times New Roman" w:hAnsi="Times New Roman"/>
          <w:b w:val="false"/>
          <w:i w:val="false"/>
          <w:color w:val="000000"/>
          <w:sz w:val="21"/>
        </w:rPr>
        <w:t>[Editorial change: IAC Supplement 6/10/26]</w:t>
      </w:r>
    </w:p>
    <w:p>
      <w:pPr>
        <w:spacing w:before="0" w:after="0"/>
        <w:ind w:left="120"/>
        <w:jc w:val="center"/>
      </w:pPr>
      <w:r>
        <w:rPr>
          <w:rFonts w:ascii="Times New Roman" w:hAnsi="Times New Roman"/>
          <w:b w:val="false"/>
          <w:i w:val="false"/>
          <w:color w:val="000000"/>
          <w:sz w:val="21"/>
        </w:rPr>
        <w:t>[Editorial change: IAC Supplement 6/24/26]</w:t>
      </w:r>
    </w:p>
    <w:p>
      <w:pPr>
        <w:pBdr>
          <w:bottom w:space="2"/>
        </w:pBdr>
        <w:spacing w:before="0" w:after="0"/>
        <w:ind w:left="120"/>
        <w:jc w:val="both"/>
      </w:pPr>
      <w:r>
        <w:rPr>
          <w:rFonts w:ascii="Times New Roman" w:hAnsi="Times New Roman"/>
          <w:b w:val="false"/>
          <w:i w:val="false"/>
          <w:color w:val="000000"/>
          <w:sz w:val="22"/>
        </w:rPr>
        <w:t>Two or more ARCs</w:t>
      </w:r>
    </w:p>
    <w:p>
      <w:pPr>
        <w:pBdr>
          <w:bottom w:space="2"/>
        </w:pBdr>
        <w:spacing w:before="0" w:after="0"/>
        <w:ind w:left="120"/>
        <w:jc w:val="both"/>
      </w:pPr>
      <w:r>
        <w:rPr>
          <w:rFonts w:ascii="Times New Roman" w:hAnsi="Times New Roman"/>
          <w:b w:val="false"/>
          <w:i w:val="false"/>
          <w:color w:val="000000"/>
          <w:sz w:val="22"/>
        </w:rPr>
        <w:t>Effective date of 326.1, “remote medical site,” delayed 70 days by the Administrative Rules Review Committee at its meeting held June 7, 2004.</w:t>
      </w:r>
    </w:p>
    <w:sectPr>
      <w:footerReference r:id="rId47"/>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48C.1.pdf" Type="http://schemas.openxmlformats.org/officeDocument/2006/relationships/hyperlink" Id="rId5"/>
    <Relationship TargetMode="External" Target="https://www.legis.iowa.gov/docs/ico/chapter/232.69.pdf" Type="http://schemas.openxmlformats.org/officeDocument/2006/relationships/hyperlink" Id="rId6"/>
    <Relationship TargetMode="External" Target="https://www.legis.iowa.gov/docs/ico/chapter/235B.16.pdf" Type="http://schemas.openxmlformats.org/officeDocument/2006/relationships/hyperlink" Id="rId7"/>
    <Relationship TargetMode="External" Target="https://www.legis.iowa.gov/docs/ico/chapter/148C.pdf" Type="http://schemas.openxmlformats.org/officeDocument/2006/relationships/hyperlink" Id="rId8"/>
    <Relationship TargetMode="External" Target="https://www.legis.iowa.gov/docs/ico/chapter/152.pdf" Type="http://schemas.openxmlformats.org/officeDocument/2006/relationships/hyperlink" Id="rId9"/>
    <Relationship TargetMode="External" Target="https://www.legis.iowa.gov/docs/ico/chapter/124.pdf" Type="http://schemas.openxmlformats.org/officeDocument/2006/relationships/hyperlink" Id="rId10"/>
    <Relationship TargetMode="External" Target="https://www.legis.iowa.gov/docs/iac/chapter/481.556.pdf" Type="http://schemas.openxmlformats.org/officeDocument/2006/relationships/hyperlink" Id="rId11"/>
    <Relationship TargetMode="External" Target="https://www.legis.iowa.gov/docs/iac/rule/481.780.9.pdf" Type="http://schemas.openxmlformats.org/officeDocument/2006/relationships/hyperlink" Id="rId12"/>
    <Relationship TargetMode="External" Target="https://www.legis.iowa.gov/docs/iac/rule/481.506.31.pdf" Type="http://schemas.openxmlformats.org/officeDocument/2006/relationships/hyperlink" Id="rId13"/>
    <Relationship TargetMode="External" Target="https://www.legis.iowa.gov/docs/ico/chapter/148C.pdf" Type="http://schemas.openxmlformats.org/officeDocument/2006/relationships/hyperlink" Id="rId14"/>
    <Relationship TargetMode="External" Target="https://www.legis.iowa.gov/docs/iac/rule/481.780.2.pdf" Type="http://schemas.openxmlformats.org/officeDocument/2006/relationships/hyperlink" Id="rId15"/>
    <Relationship TargetMode="External" Target="https://www.legis.iowa.gov/docs/iac/rule/481.501.1.pdf" Type="http://schemas.openxmlformats.org/officeDocument/2006/relationships/hyperlink" Id="rId16"/>
    <Relationship TargetMode="External" Target="https://www.legis.iowa.gov/docs/iac/rule/481.780.2.pdf" Type="http://schemas.openxmlformats.org/officeDocument/2006/relationships/hyperlink" Id="rId17"/>
    <Relationship TargetMode="External" Target="https://www.legis.iowa.gov/docs/iac/rule/481.780.2.pdf" Type="http://schemas.openxmlformats.org/officeDocument/2006/relationships/hyperlink" Id="rId18"/>
    <Relationship TargetMode="External" Target="https://www.legis.iowa.gov/docs/ico/chapter/148C.1.pdf" Type="http://schemas.openxmlformats.org/officeDocument/2006/relationships/hyperlink" Id="rId19"/>
    <Relationship TargetMode="External" Target="https://www.legis.iowa.gov/docs/ico/chapter/148C.1.pdf" Type="http://schemas.openxmlformats.org/officeDocument/2006/relationships/hyperlink" Id="rId20"/>
    <Relationship TargetMode="External" Target="https://www.legis.iowa.gov/docs/iac/rule/653.21.1.pdf" Type="http://schemas.openxmlformats.org/officeDocument/2006/relationships/hyperlink" Id="rId21"/>
    <Relationship TargetMode="External" Target="https://www.legis.iowa.gov/docs/iac/rule/481.780.5.pdf" Type="http://schemas.openxmlformats.org/officeDocument/2006/relationships/hyperlink" Id="rId22"/>
    <Relationship TargetMode="External" Target="https://www.legis.iowa.gov/docs/iac/rule/481.780.1.pdf" Type="http://schemas.openxmlformats.org/officeDocument/2006/relationships/hyperlink" Id="rId23"/>
    <Relationship TargetMode="External" Target="https://www.legis.iowa.gov/docs/iac/rule/481.780.5.pdf" Type="http://schemas.openxmlformats.org/officeDocument/2006/relationships/hyperlink" Id="rId24"/>
    <Relationship TargetMode="External" Target="https://www.legis.iowa.gov/docs/iac/rule/481.780.1.pdf" Type="http://schemas.openxmlformats.org/officeDocument/2006/relationships/hyperlink" Id="rId25"/>
    <Relationship TargetMode="External" Target="https://www.legis.iowa.gov/docs/iac/rule/481.780.1.pdf" Type="http://schemas.openxmlformats.org/officeDocument/2006/relationships/hyperlink" Id="rId26"/>
    <Relationship TargetMode="External" Target="https://www.legis.iowa.gov/docs/iac/chapter/481.782.pdf" Type="http://schemas.openxmlformats.org/officeDocument/2006/relationships/hyperlink" Id="rId27"/>
    <Relationship TargetMode="External" Target="https://www.legis.iowa.gov/docs/iac/rule/481.780.8.pdf" Type="http://schemas.openxmlformats.org/officeDocument/2006/relationships/hyperlink" Id="rId28"/>
    <Relationship TargetMode="External" Target="https://www.legis.iowa.gov/docs/ico/chapter/232.69.pdf" Type="http://schemas.openxmlformats.org/officeDocument/2006/relationships/hyperlink" Id="rId29"/>
    <Relationship TargetMode="External" Target="https://www.legis.iowa.gov/docs/iac/rule/481.780.8.pdf" Type="http://schemas.openxmlformats.org/officeDocument/2006/relationships/hyperlink" Id="rId30"/>
    <Relationship TargetMode="External" Target="https://www.legis.iowa.gov/docs/ico/chapter/235B.16.pdf" Type="http://schemas.openxmlformats.org/officeDocument/2006/relationships/hyperlink" Id="rId31"/>
    <Relationship TargetMode="External" Target="https://www.legis.iowa.gov/docs/iac/rule/481.780.8.pdf" Type="http://schemas.openxmlformats.org/officeDocument/2006/relationships/hyperlink" Id="rId32"/>
    <Relationship TargetMode="External" Target="https://www.legis.iowa.gov/docs/iac/rule/481.780.8.pdf" Type="http://schemas.openxmlformats.org/officeDocument/2006/relationships/hyperlink" Id="rId33"/>
    <Relationship TargetMode="External" Target="https://www.legis.iowa.gov/docs/iac/rule/481.780.8.pdf" Type="http://schemas.openxmlformats.org/officeDocument/2006/relationships/hyperlink" Id="rId34"/>
    <Relationship TargetMode="External" Target="https://www.legis.iowa.gov/docs/iac/rule/481.507.14.pdf" Type="http://schemas.openxmlformats.org/officeDocument/2006/relationships/hyperlink" Id="rId35"/>
    <Relationship TargetMode="External" Target="https://www.legis.iowa.gov/docs/ico/chapter/147.83.pdf" Type="http://schemas.openxmlformats.org/officeDocument/2006/relationships/hyperlink" Id="rId36"/>
    <Relationship TargetMode="External" Target="https://www.legis.iowa.gov/docs/ico/chapter/147.86.pdf" Type="http://schemas.openxmlformats.org/officeDocument/2006/relationships/hyperlink" Id="rId37"/>
    <Relationship TargetMode="External" Target="https://www.legis.iowa.gov/docs/iac/rule/481.506.31.pdf" Type="http://schemas.openxmlformats.org/officeDocument/2006/relationships/hyperlink" Id="rId38"/>
    <Relationship TargetMode="External" Target="https://www.legis.iowa.gov/docs/iac/rule/481.780.9.pdf" Type="http://schemas.openxmlformats.org/officeDocument/2006/relationships/hyperlink" Id="rId39"/>
    <Relationship TargetMode="External" Target="https://www.legis.iowa.gov/docs/ico/chapter/148C.pdf" Type="http://schemas.openxmlformats.org/officeDocument/2006/relationships/hyperlink" Id="rId40"/>
    <Relationship TargetMode="External" Target="https://www.legis.iowa.gov/docs/ico/chapter/148C.pdf" Type="http://schemas.openxmlformats.org/officeDocument/2006/relationships/hyperlink" Id="rId41"/>
    <Relationship TargetMode="External" Target="https://www.legis.iowa.gov/docs/ico/chapter/148C.pdf" Type="http://schemas.openxmlformats.org/officeDocument/2006/relationships/hyperlink" Id="rId42"/>
    <Relationship TargetMode="External" Target="https://www.legis.iowa.gov/docs/ico/chapter/17A.pdf" Type="http://schemas.openxmlformats.org/officeDocument/2006/relationships/hyperlink" Id="rId43"/>
    <Relationship TargetMode="External" Target="https://www.legis.iowa.gov/docs/ico/chapter/147.pdf" Type="http://schemas.openxmlformats.org/officeDocument/2006/relationships/hyperlink" Id="rId44"/>
    <Relationship TargetMode="External" Target="https://www.legis.iowa.gov/docs/ico/chapter/148C.pdf" Type="http://schemas.openxmlformats.org/officeDocument/2006/relationships/hyperlink" Id="rId45"/>
    <Relationship TargetMode="External" Target="https://www.legis.iowa.gov/docs/ico/chapter/272C.pdf" Type="http://schemas.openxmlformats.org/officeDocument/2006/relationships/hyperlink" Id="rId46"/>
    <Relationship Target="footer.xml" Type="http://schemas.openxmlformats.org/officeDocument/2006/relationships/footer" Id="rId4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