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741</w:t>
      </w:r>
    </w:p>
    <w:p>
      <w:pPr>
        <w:spacing w:before="0" w:after="0"/>
        <w:ind w:left="120"/>
        <w:jc w:val="center"/>
      </w:pPr>
      <w:r>
        <w:rPr>
          <w:rFonts w:ascii="Times New Roman" w:hAnsi="Times New Roman"/>
          <w:b w:val="false"/>
          <w:i w:val="false"/>
          <w:color w:val="000000"/>
          <w:sz w:val="21"/>
        </w:rPr>
        <w:t>PRACTICE OF SPEECH PATHOLOGISTS AND AUDIOLOGISTS</w:t>
      </w:r>
    </w:p>
    <w:p>
      <w:pPr>
        <w:spacing w:before="0" w:after="0"/>
        <w:ind w:left="120"/>
        <w:jc w:val="center"/>
      </w:pPr>
      <w:r>
        <w:rPr>
          <w:rFonts w:ascii="Times New Roman" w:hAnsi="Times New Roman"/>
          <w:b w:val="false"/>
          <w:i w:val="false"/>
          <w:color w:val="000000"/>
          <w:sz w:val="20"/>
        </w:rPr>
        <w:t>[Prior to 9/18/24, see Professional Licensure Division[645] Ch 301]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481—741.1</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speech pathology or audiology services to a patient utilizing a telehealth visit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speech pathology or audiology services by a licensee to a patient using technology where the licensee and the patient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utilize technology that is secure and HIPAA-compliant (Health Insurance Portability and Accountability Act of 1996, PL 104–191, August 21, 1996, 110 Stat 1936), and that includes, at a minimum, audio and video equipment that allows two-way real-time interactive communication between the licensee and the patient. A licensee may use non-real-time technologies to prepare for an appointment or to communicate with a patient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speech pathology or audiology services. A licensee will not utilize a telehealth visit if the standard of care for the particular speech pathology or audiology service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will obtain informed consent from the patient specific to the services that will be provided in a telehealth visit. At a minimum, the informed consent will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speech pathology or audiology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741.1(5)</w:t>
      </w:r>
      <w:r>
        <w:rPr>
          <w:rFonts w:ascii="Times New Roman" w:hAnsi="Times New Roman"/>
          <w:b w:val="false"/>
          <w:i w:val="false"/>
          <w:color w:val="000000"/>
          <w:sz w:val="22"/>
        </w:rPr>
        <w:t> </w:t>
      </w:r>
      <w:r>
        <w:rPr>
          <w:rFonts w:ascii="Times New Roman" w:hAnsi="Times New Roman"/>
          <w:b w:val="false"/>
          <w:i w:val="false"/>
          <w:color w:val="000000"/>
          <w:sz w:val="22"/>
        </w:rPr>
        <w:t>A licensee will only provide speech pathology or audiology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speech pathology or audiology services are provided utilizing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741.1(7)</w:t>
      </w:r>
      <w:r>
        <w:rPr>
          <w:rFonts w:ascii="Times New Roman" w:hAnsi="Times New Roman"/>
          <w:b w:val="false"/>
          <w:i w:val="false"/>
          <w:color w:val="000000"/>
          <w:sz w:val="22"/>
        </w:rPr>
        <w:t> </w:t>
      </w:r>
      <w:r>
        <w:rPr>
          <w:rFonts w:ascii="Times New Roman" w:hAnsi="Times New Roman"/>
          <w:b w:val="false"/>
          <w:i w:val="false"/>
          <w:color w:val="000000"/>
          <w:sz w:val="22"/>
        </w:rPr>
        <w:t>Speech pathology or audiology services in Iowa through telephonic, electronic, or other means constitute the practice of speech pathology or audiology and require Iowa licensure, regardless of the location of the speech/language pathologist or audiologist.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481—741.2</w:t>
      </w:r>
      <w:r>
        <w:rPr>
          <w:rFonts w:ascii="Times New Roman" w:hAnsi="Times New Roman"/>
          <w:b/>
          <w:i w:val="false"/>
          <w:color w:val="000000"/>
          <w:sz w:val="22"/>
        </w:rPr>
        <w:t xml:space="preserve">(147) </w:t>
      </w:r>
      <w:r>
        <w:rPr>
          <w:rFonts w:ascii="Times New Roman" w:hAnsi="Times New Roman"/>
          <w:b/>
          <w:i w:val="false"/>
          <w:color w:val="000000"/>
          <w:sz w:val="22"/>
        </w:rPr>
        <w:t xml:space="preserve">Hearing aid dispensing. </w:t>
      </w:r>
      <w:r>
        <w:rPr>
          <w:rFonts w:ascii="Times New Roman" w:hAnsi="Times New Roman"/>
          <w:b w:val="false"/>
          <w:i w:val="false"/>
          <w:color w:val="000000"/>
          <w:sz w:val="22"/>
        </w:rPr>
        <w:t>A licensed audiologist may dispense hearing aids without a separate hearing aid specialist license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“sell”</w:t>
      </w:r>
      <w:r>
        <w:rPr>
          <w:rFonts w:ascii="Times New Roman" w:hAnsi="Times New Roman"/>
          <w:b w:val="false"/>
          <w:i w:val="false"/>
          <w:color w:val="000000"/>
          <w:sz w:val="22"/>
        </w:rPr>
        <w:t>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aid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persons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audiologist dispensing hearing aids will be held to the same standard of care as a licensed hearing aid specialist and will follow the rules in </w:t>
      </w:r>
      <w:hyperlink r:id="rId8">
        <w:r>
          <w:rPr>
            <w:rStyle w:val="Hyperlink"/>
            <w:rFonts w:ascii="Times New Roman" w:hAnsi="Times New Roman"/>
            <w:b w:val="false"/>
            <w:i w:val="false"/>
            <w:color w:val="000000"/>
            <w:sz w:val="22"/>
          </w:rPr>
          <w:t>481—Chapter 2062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9315C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5863C</w:t>
      </w:r>
      <w:r>
        <w:rPr>
          <w:rFonts w:ascii="Times New Roman" w:hAnsi="Times New Roman"/>
          <w:b w:val="false"/>
          <w:i w:val="false"/>
          <w:color w:val="000000"/>
          <w:sz w:val="21"/>
        </w:rPr>
        <w:t xml:space="preserve"> (Notice ARC 5556C,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7826C</w:t>
      </w:r>
      <w:r>
        <w:rPr>
          <w:rFonts w:ascii="Times New Roman" w:hAnsi="Times New Roman"/>
          <w:b w:val="false"/>
          <w:i w:val="false"/>
          <w:color w:val="000000"/>
          <w:sz w:val="21"/>
        </w:rPr>
        <w:t xml:space="preserve"> (Notice ARC 7469C,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9315C</w:t>
      </w:r>
      <w:r>
        <w:rPr>
          <w:rFonts w:ascii="Times New Roman" w:hAnsi="Times New Roman"/>
          <w:b w:val="false"/>
          <w:i w:val="false"/>
          <w:color w:val="000000"/>
          <w:sz w:val="21"/>
        </w:rPr>
        <w:t xml:space="preserve"> (Notice ARC 8950C, IAB 2/19/25)</w:t>
      </w:r>
      <w:r>
        <w:rPr>
          <w:rFonts w:ascii="Times New Roman" w:hAnsi="Times New Roman"/>
          <w:b w:val="false"/>
          <w:i w:val="false"/>
          <w:color w:val="000000"/>
          <w:sz w:val="21"/>
        </w:rPr>
        <w:t>, IAB 5/28/25, effective 7/2/25]</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F.pdf" Type="http://schemas.openxmlformats.org/officeDocument/2006/relationships/hyperlink" Id="rId6"/>
    <Relationship TargetMode="External" Target="https://www.legis.iowa.gov/docs/ico/chapter/154A.pdf" Type="http://schemas.openxmlformats.org/officeDocument/2006/relationships/hyperlink" Id="rId7"/>
    <Relationship TargetMode="External" Target="https://www.legis.iowa.gov/docs/iac/chapter/481.206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F.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