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pBdr>
          <w:bottom w:space="3"/>
        </w:pBdr>
        <w:spacing w:before="0" w:after="0"/>
        <w:ind w:left="120"/>
        <w:jc w:val="center"/>
      </w:pPr>
      <w:r>
        <w:rPr>
          <w:rFonts w:ascii="Times New Roman" w:hAnsi="Times New Roman"/>
          <w:b w:val="false"/>
          <w:i w:val="false"/>
          <w:color w:val="000000"/>
          <w:sz w:val="16"/>
        </w:rPr>
        <w:t xml:space="preserve"> </w:t>
      </w:r>
      <w:r>
        <w:rPr>
          <w:rFonts w:ascii="Times New Roman" w:hAnsi="Times New Roman"/>
          <w:b w:val="false"/>
          <w:i/>
          <w:color w:val="000000"/>
          <w:sz w:val="16"/>
        </w:rPr>
        <w:t>BOARD OF RESPIRATORY CARE AND POLYSOMNOGRAPHY</w:t>
      </w:r>
      <w:r>
        <w:rPr>
          <w:rFonts w:ascii="Times New Roman" w:hAnsi="Times New Roman"/>
          <w:b w:val="false"/>
          <w:i w:val="false"/>
          <w:color w:val="000000"/>
          <w:sz w:val="16"/>
        </w:rPr>
        <w:t xml:space="preserve"> </w:t>
      </w: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720</w:t>
      </w:r>
    </w:p>
    <w:p>
      <w:pPr>
        <w:spacing w:before="0" w:after="0"/>
        <w:ind w:left="120"/>
        <w:jc w:val="center"/>
      </w:pPr>
      <w:r>
        <w:rPr>
          <w:rFonts w:ascii="Times New Roman" w:hAnsi="Times New Roman"/>
          <w:b w:val="false"/>
          <w:i w:val="false"/>
          <w:color w:val="000000"/>
          <w:sz w:val="21"/>
        </w:rPr>
        <w:t>LICENSURE OF RESPIRATORY CARE PRACTITIONERS, POLYSOMNOGRAPHIC TECHNOLOGISTS, AND RESPIRATORY CARE AND POLYSOMNOGRAPHY PRACTITIONERS</w:t>
      </w:r>
    </w:p>
    <w:p>
      <w:pPr>
        <w:spacing w:before="0" w:after="0"/>
        <w:ind w:left="120"/>
        <w:jc w:val="center"/>
      </w:pPr>
      <w:r>
        <w:rPr>
          <w:rFonts w:ascii="Times New Roman" w:hAnsi="Times New Roman"/>
          <w:b w:val="false"/>
          <w:i w:val="false"/>
          <w:color w:val="000000"/>
          <w:sz w:val="20"/>
        </w:rPr>
        <w:t>[Prior to 4/17/02, see 645—Chapter 260]</w:t>
      </w:r>
    </w:p>
    <w:p>
      <w:pPr>
        <w:spacing w:before="0" w:after="0"/>
        <w:ind w:left="120"/>
        <w:jc w:val="center"/>
      </w:pPr>
      <w:r>
        <w:rPr>
          <w:rFonts w:ascii="Times New Roman" w:hAnsi="Times New Roman"/>
          <w:b w:val="false"/>
          <w:i w:val="false"/>
          <w:color w:val="000000"/>
          <w:sz w:val="20"/>
        </w:rPr>
        <w:t>[Prior to 9/18/24, see Professional Licensure Division[645] Ch 261]</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7/31/29</w:t>
      </w:r>
    </w:p>
    <w:p>
      <w:pPr>
        <w:spacing w:before="0" w:after="0"/>
        <w:ind w:left="120"/>
        <w:jc w:val="both"/>
      </w:pPr>
      <w:r>
        <w:rPr>
          <w:rFonts w:ascii="Times New Roman" w:hAnsi="Times New Roman"/>
          <w:b/>
          <w:i w:val="false"/>
          <w:color w:val="000000"/>
          <w:sz w:val="22"/>
        </w:rPr>
        <w:t>481—720.1</w:t>
      </w:r>
      <w:r>
        <w:rPr>
          <w:rFonts w:ascii="Times New Roman" w:hAnsi="Times New Roman"/>
          <w:b/>
          <w:i w:val="false"/>
          <w:color w:val="000000"/>
          <w:sz w:val="22"/>
        </w:rPr>
        <w:t xml:space="preserve">(148G,152B)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“Active license”</w:t>
      </w:r>
      <w:r>
        <w:rPr>
          <w:rFonts w:ascii="Times New Roman" w:hAnsi="Times New Roman"/>
          <w:b w:val="false"/>
          <w:i w:val="false"/>
          <w:color w:val="000000"/>
          <w:sz w:val="22"/>
        </w:rPr>
        <w:t> </w:t>
      </w:r>
      <w:r>
        <w:rPr>
          <w:rFonts w:ascii="Times New Roman" w:hAnsi="Times New Roman"/>
          <w:b w:val="false"/>
          <w:i w:val="false"/>
          <w:color w:val="000000"/>
          <w:sz w:val="22"/>
        </w:rPr>
        <w:t>means a license that is current and has not expired.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“Board”</w:t>
      </w:r>
      <w:r>
        <w:rPr>
          <w:rFonts w:ascii="Times New Roman" w:hAnsi="Times New Roman"/>
          <w:b w:val="false"/>
          <w:i w:val="false"/>
          <w:color w:val="000000"/>
          <w:sz w:val="22"/>
        </w:rPr>
        <w:t> </w:t>
      </w:r>
      <w:r>
        <w:rPr>
          <w:rFonts w:ascii="Times New Roman" w:hAnsi="Times New Roman"/>
          <w:b w:val="false"/>
          <w:i w:val="false"/>
          <w:color w:val="000000"/>
          <w:sz w:val="22"/>
        </w:rPr>
        <w:t>means the board of respiratory care and polysomnography.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“BRPT”</w:t>
      </w:r>
      <w:r>
        <w:rPr>
          <w:rFonts w:ascii="Times New Roman" w:hAnsi="Times New Roman"/>
          <w:b w:val="false"/>
          <w:i w:val="false"/>
          <w:color w:val="000000"/>
          <w:sz w:val="22"/>
        </w:rPr>
        <w:t> </w:t>
      </w:r>
      <w:r>
        <w:rPr>
          <w:rFonts w:ascii="Times New Roman" w:hAnsi="Times New Roman"/>
          <w:b w:val="false"/>
          <w:i w:val="false"/>
          <w:color w:val="000000"/>
          <w:sz w:val="22"/>
        </w:rPr>
        <w:t>means the Board of Registered Polysomnographic Technologists.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“CAAHEP”</w:t>
      </w:r>
      <w:r>
        <w:rPr>
          <w:rFonts w:ascii="Times New Roman" w:hAnsi="Times New Roman"/>
          <w:b w:val="false"/>
          <w:i w:val="false"/>
          <w:color w:val="000000"/>
          <w:sz w:val="22"/>
        </w:rPr>
        <w:t> </w:t>
      </w:r>
      <w:r>
        <w:rPr>
          <w:rFonts w:ascii="Times New Roman" w:hAnsi="Times New Roman"/>
          <w:b w:val="false"/>
          <w:i w:val="false"/>
          <w:color w:val="000000"/>
          <w:sz w:val="22"/>
        </w:rPr>
        <w:t>means the Commission on Accreditation of Allied Health Education Programs.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“CoARC”</w:t>
      </w:r>
      <w:r>
        <w:rPr>
          <w:rFonts w:ascii="Times New Roman" w:hAnsi="Times New Roman"/>
          <w:b w:val="false"/>
          <w:i w:val="false"/>
          <w:color w:val="000000"/>
          <w:sz w:val="22"/>
        </w:rPr>
        <w:t> </w:t>
      </w:r>
      <w:r>
        <w:rPr>
          <w:rFonts w:ascii="Times New Roman" w:hAnsi="Times New Roman"/>
          <w:b w:val="false"/>
          <w:i w:val="false"/>
          <w:color w:val="000000"/>
          <w:sz w:val="22"/>
        </w:rPr>
        <w:t>means the Commission on Accreditation for Respiratory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“Grace period”</w:t>
      </w:r>
      <w:r>
        <w:rPr>
          <w:rFonts w:ascii="Times New Roman" w:hAnsi="Times New Roman"/>
          <w:b w:val="false"/>
          <w:i w:val="false"/>
          <w:color w:val="000000"/>
          <w:sz w:val="22"/>
        </w:rPr>
        <w:t> </w:t>
      </w:r>
      <w:r>
        <w:rPr>
          <w:rFonts w:ascii="Times New Roman" w:hAnsi="Times New Roman"/>
          <w:b w:val="false"/>
          <w:i w:val="false"/>
          <w:color w:val="000000"/>
          <w:sz w:val="22"/>
        </w:rPr>
        <w:t>means the 30-day period following expiration of a license when the license is still considered to be active.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“Licensee”</w:t>
      </w:r>
      <w:r>
        <w:rPr>
          <w:rFonts w:ascii="Times New Roman" w:hAnsi="Times New Roman"/>
          <w:b w:val="false"/>
          <w:i w:val="false"/>
          <w:color w:val="000000"/>
          <w:sz w:val="22"/>
        </w:rPr>
        <w:t> </w:t>
      </w:r>
      <w:r>
        <w:rPr>
          <w:rFonts w:ascii="Times New Roman" w:hAnsi="Times New Roman"/>
          <w:b w:val="false"/>
          <w:i w:val="false"/>
          <w:color w:val="000000"/>
          <w:sz w:val="22"/>
        </w:rPr>
        <w:t>means any person licensed to practice as a respiratory care practitioner, polysomnographic technologist, or respiratory care and polysomnography practitioner in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“License expiration date”</w:t>
      </w:r>
      <w:r>
        <w:rPr>
          <w:rFonts w:ascii="Times New Roman" w:hAnsi="Times New Roman"/>
          <w:b w:val="false"/>
          <w:i w:val="false"/>
          <w:color w:val="000000"/>
          <w:sz w:val="22"/>
        </w:rPr>
        <w:t> </w:t>
      </w:r>
      <w:r>
        <w:rPr>
          <w:rFonts w:ascii="Times New Roman" w:hAnsi="Times New Roman"/>
          <w:b w:val="false"/>
          <w:i w:val="false"/>
          <w:color w:val="000000"/>
          <w:sz w:val="22"/>
        </w:rPr>
        <w:t>means March 31 of even-numbered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“NBRC”</w:t>
      </w:r>
      <w:r>
        <w:rPr>
          <w:rFonts w:ascii="Times New Roman" w:hAnsi="Times New Roman"/>
          <w:b w:val="false"/>
          <w:i w:val="false"/>
          <w:color w:val="000000"/>
          <w:sz w:val="22"/>
        </w:rPr>
        <w:t> </w:t>
      </w:r>
      <w:r>
        <w:rPr>
          <w:rFonts w:ascii="Times New Roman" w:hAnsi="Times New Roman"/>
          <w:b w:val="false"/>
          <w:i w:val="false"/>
          <w:color w:val="000000"/>
          <w:sz w:val="22"/>
        </w:rPr>
        <w:t>means the National Board for Respiratory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“Polysomnographic technologist”</w:t>
      </w:r>
      <w:r>
        <w:rPr>
          <w:rFonts w:ascii="Times New Roman" w:hAnsi="Times New Roman"/>
          <w:b w:val="false"/>
          <w:i w:val="false"/>
          <w:color w:val="000000"/>
          <w:sz w:val="22"/>
        </w:rPr>
        <w:t> </w:t>
      </w:r>
      <w:r>
        <w:rPr>
          <w:rFonts w:ascii="Times New Roman" w:hAnsi="Times New Roman"/>
          <w:b w:val="false"/>
          <w:i w:val="false"/>
          <w:color w:val="000000"/>
          <w:sz w:val="22"/>
        </w:rPr>
        <w:t>means a person licensed by the board to engage in the practice of polysomnography under the general supervision of a physician or a qualified health care professional prescriber.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“Reactivate”</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“reactivation”</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process as outlined in rule </w:t>
      </w:r>
      <w:hyperlink r:id="rId5">
        <w:r>
          <w:rPr>
            <w:rStyle w:val="Hyperlink"/>
            <w:rFonts w:ascii="Times New Roman" w:hAnsi="Times New Roman"/>
            <w:b w:val="false"/>
            <w:i w:val="false"/>
            <w:color w:val="000000"/>
            <w:sz w:val="22"/>
          </w:rPr>
          <w:t>481—720.14</w:t>
        </w:r>
      </w:hyperlink>
      <w:r>
        <w:rPr>
          <w:rFonts w:ascii="Times New Roman" w:hAnsi="Times New Roman"/>
          <w:b w:val="false"/>
          <w:i w:val="false"/>
          <w:color w:val="000000"/>
          <w:sz w:val="22"/>
        </w:rPr>
        <w:t>(17A,147,272C) by which an inactive license is restored to active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“Reciprocal license”</w:t>
      </w:r>
      <w:r>
        <w:rPr>
          <w:rFonts w:ascii="Times New Roman" w:hAnsi="Times New Roman"/>
          <w:b w:val="false"/>
          <w:i w:val="false"/>
          <w:color w:val="000000"/>
          <w:sz w:val="22"/>
        </w:rPr>
        <w:t> </w:t>
      </w:r>
      <w:r>
        <w:rPr>
          <w:rFonts w:ascii="Times New Roman" w:hAnsi="Times New Roman"/>
          <w:b w:val="false"/>
          <w:i w:val="false"/>
          <w:color w:val="000000"/>
          <w:sz w:val="22"/>
        </w:rPr>
        <w:t>means the issuance of an Iowa license to practice as a respiratory care practitioner, polysomnographic technologist, or respiratory care and polysomnography practitioner to an applicant who is currently licensed in another state that has a mutual agreement with the Iowa board of respiratory care and polysomnography to license persons who have the same or similar qualifications to those required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“Reinstatement”</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process as outlined in rule </w:t>
      </w:r>
      <w:hyperlink r:id="rId6">
        <w:r>
          <w:rPr>
            <w:rStyle w:val="Hyperlink"/>
            <w:rFonts w:ascii="Times New Roman" w:hAnsi="Times New Roman"/>
            <w:b w:val="false"/>
            <w:i w:val="false"/>
            <w:color w:val="000000"/>
            <w:sz w:val="22"/>
          </w:rPr>
          <w:t>481—506.31</w:t>
        </w:r>
      </w:hyperlink>
      <w:r>
        <w:rPr>
          <w:rFonts w:ascii="Times New Roman" w:hAnsi="Times New Roman"/>
          <w:b w:val="false"/>
          <w:i w:val="false"/>
          <w:color w:val="000000"/>
          <w:sz w:val="22"/>
        </w:rPr>
        <w:t>(272C) by which a licensee who has had a license suspended or revoked or who has voluntarily surrendered a license may apply to have the license reinstated, with or without conditions. Once the license is reinstated, the licensee may apply for active status.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8073C</w:t>
      </w:r>
      <w:r>
        <w:rPr>
          <w:rFonts w:ascii="Times New Roman" w:hAnsi="Times New Roman"/>
          <w:b w:val="false"/>
          <w:i w:val="false"/>
          <w:color w:val="000000"/>
          <w:sz w:val="16"/>
        </w:rPr>
        <w:t>, IAB 6/26/24, effective 7/31/24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481—720.2</w:t>
      </w:r>
      <w:r>
        <w:rPr>
          <w:rFonts w:ascii="Times New Roman" w:hAnsi="Times New Roman"/>
          <w:b/>
          <w:i w:val="false"/>
          <w:color w:val="000000"/>
          <w:sz w:val="22"/>
        </w:rPr>
        <w:t xml:space="preserve">(148G,152B) </w:t>
      </w:r>
      <w:r>
        <w:rPr>
          <w:rFonts w:ascii="Times New Roman" w:hAnsi="Times New Roman"/>
          <w:b/>
          <w:i w:val="false"/>
          <w:color w:val="000000"/>
          <w:sz w:val="22"/>
        </w:rPr>
        <w:t xml:space="preserve">General requirements for licensure. </w:t>
      </w:r>
      <w:r>
        <w:rPr>
          <w:rFonts w:ascii="Times New Roman" w:hAnsi="Times New Roman"/>
          <w:b w:val="false"/>
          <w:i w:val="false"/>
          <w:color w:val="000000"/>
          <w:sz w:val="22"/>
        </w:rPr>
        <w:t>The following general criteria apply to licensure: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720.2(1)</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applicant must submit a completed online application for licensure and pay the nonrefundable licensure fee specified in rule </w:t>
      </w:r>
      <w:hyperlink r:id="rId7">
        <w:r>
          <w:rPr>
            <w:rStyle w:val="Hyperlink"/>
            <w:rFonts w:ascii="Times New Roman" w:hAnsi="Times New Roman"/>
            <w:b w:val="false"/>
            <w:i w:val="false"/>
            <w:color w:val="000000"/>
            <w:sz w:val="22"/>
          </w:rPr>
          <w:t>481—507.17</w:t>
        </w:r>
      </w:hyperlink>
      <w:r>
        <w:rPr>
          <w:rFonts w:ascii="Times New Roman" w:hAnsi="Times New Roman"/>
          <w:b w:val="false"/>
          <w:i w:val="false"/>
          <w:color w:val="000000"/>
          <w:sz w:val="22"/>
        </w:rPr>
        <w:t>(147,152B). The applicant must submit two completed sets of fingerprint cards to facilitate a national criminal history background check. The cost for the evaluation of the fingerprint cards and the criminal history background checks by the Iowa division of criminal investigation (DCI) and the Federal Bureau of Investigation (FBI) criminal history background checks is assessed to the applicant. The board may withhold issuing a license pending receipt of a report from the DCI and FBI.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applicant must submit a release authorizing the background check.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Licensees who were issued their licenses within six months prior to the renewal do not need to renew their licenses until the renewal month two years later.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applicant who has been a licensed respiratory care practitioner, polysomnographic technologist, or respiratory care and polysomnography practitioner under the laws of another jurisdiction shall provide verification of license from the jurisdiction in which the applicant has most recently been licensed. Verification shall be sent directly from the jurisdiction to the board office. The applicant must also disclose any public or pending complaints against the applicant in any other jurisdiction. Web-based verification may be substituted for verification direct from the jurisdiction’s board office if the verification provides: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Licensee’s 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Date of initial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Current licensure status;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All disciplinary action taken against the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720.2(2)</w:t>
      </w:r>
      <w:r>
        <w:rPr>
          <w:rFonts w:ascii="Times New Roman" w:hAnsi="Times New Roman"/>
          <w:b w:val="false"/>
          <w:i w:val="false"/>
          <w:color w:val="000000"/>
          <w:sz w:val="22"/>
        </w:rPr>
        <w:t> </w:t>
      </w:r>
      <w:r>
        <w:rPr>
          <w:rFonts w:ascii="Times New Roman" w:hAnsi="Times New Roman"/>
          <w:b w:val="false"/>
          <w:i w:val="false"/>
          <w:color w:val="000000"/>
          <w:sz w:val="22"/>
        </w:rPr>
        <w:t>Incomplete applications that have been on file in the board office for more than two years will be considered invalid and destroyed.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8073C</w:t>
      </w:r>
      <w:r>
        <w:rPr>
          <w:rFonts w:ascii="Times New Roman" w:hAnsi="Times New Roman"/>
          <w:b w:val="false"/>
          <w:i w:val="false"/>
          <w:color w:val="000000"/>
          <w:sz w:val="16"/>
        </w:rPr>
        <w:t>, IAB 6/26/24, effective 7/31/24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481—720.3</w:t>
      </w:r>
      <w:r>
        <w:rPr>
          <w:rFonts w:ascii="Times New Roman" w:hAnsi="Times New Roman"/>
          <w:b/>
          <w:i w:val="false"/>
          <w:color w:val="000000"/>
          <w:sz w:val="22"/>
        </w:rPr>
        <w:t xml:space="preserve">(152B) </w:t>
      </w:r>
      <w:r>
        <w:rPr>
          <w:rFonts w:ascii="Times New Roman" w:hAnsi="Times New Roman"/>
          <w:b/>
          <w:i w:val="false"/>
          <w:color w:val="000000"/>
          <w:sz w:val="22"/>
        </w:rPr>
        <w:t xml:space="preserve">Additional requirements for respiratory care practitioner licensure. </w:t>
      </w:r>
      <w:r>
        <w:rPr>
          <w:rFonts w:ascii="Times New Roman" w:hAnsi="Times New Roman"/>
          <w:b w:val="false"/>
          <w:i w:val="false"/>
          <w:color w:val="000000"/>
          <w:sz w:val="22"/>
        </w:rPr>
        <w:t>The following are additional specific criteria for licensure as a respiratory care practitioner: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720.3(1)</w:t>
      </w:r>
      <w:r>
        <w:rPr>
          <w:rFonts w:ascii="Times New Roman" w:hAnsi="Times New Roman"/>
          <w:b w:val="false"/>
          <w:i w:val="false"/>
          <w:color w:val="000000"/>
          <w:sz w:val="22"/>
        </w:rPr>
        <w:t> </w:t>
      </w:r>
      <w:r>
        <w:rPr>
          <w:rFonts w:ascii="Times New Roman" w:hAnsi="Times New Roman"/>
          <w:b w:val="false"/>
          <w:i w:val="false"/>
          <w:color w:val="000000"/>
          <w:sz w:val="22"/>
        </w:rPr>
        <w:t>Successful completion of a respiratory care education program accredited by, or under a letter of review from, CoARC or CAAHEP.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720.3(2)</w:t>
      </w:r>
      <w:r>
        <w:rPr>
          <w:rFonts w:ascii="Times New Roman" w:hAnsi="Times New Roman"/>
          <w:b w:val="false"/>
          <w:i w:val="false"/>
          <w:color w:val="000000"/>
          <w:sz w:val="22"/>
        </w:rPr>
        <w:t> </w:t>
      </w:r>
      <w:r>
        <w:rPr>
          <w:rFonts w:ascii="Times New Roman" w:hAnsi="Times New Roman"/>
          <w:b w:val="false"/>
          <w:i w:val="false"/>
          <w:color w:val="000000"/>
          <w:sz w:val="22"/>
        </w:rPr>
        <w:t>Foreign-trained respiratory care practitioners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Provide an equivalency evaluation of their educational credentials by one of the following: International Education Research Foundation, Inc., Credentials Evaluation Service; or International Credentialing Associates, Inc.</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The professional curriculum must be equivalent to that stated in these rules. The candidate bears the expense of the curriculum evaluation.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Provide a copy of the certificate or diploma awarded to the applicant from a respiratory care program in the country in which the applicant was educated.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Receive a final determination from the board regarding the application for licensure.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720.3(3)</w:t>
      </w:r>
      <w:r>
        <w:rPr>
          <w:rFonts w:ascii="Times New Roman" w:hAnsi="Times New Roman"/>
          <w:b w:val="false"/>
          <w:i w:val="false"/>
          <w:color w:val="000000"/>
          <w:sz w:val="22"/>
        </w:rPr>
        <w:t> </w:t>
      </w:r>
      <w:r>
        <w:rPr>
          <w:rFonts w:ascii="Times New Roman" w:hAnsi="Times New Roman"/>
          <w:b w:val="false"/>
          <w:i w:val="false"/>
          <w:color w:val="000000"/>
          <w:sz w:val="22"/>
        </w:rPr>
        <w:t>The examination required by the board shall be the Therapist Multiple-Choice Examination or the Certified Respiratory Therapist Examination administered by the NBRC. A score on the examination that meets or exceeds the minimum passing score established by the NBRC is required.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720.3(4)</w:t>
      </w:r>
      <w:r>
        <w:rPr>
          <w:rFonts w:ascii="Times New Roman" w:hAnsi="Times New Roman"/>
          <w:b w:val="false"/>
          <w:i w:val="false"/>
          <w:color w:val="000000"/>
          <w:sz w:val="22"/>
        </w:rPr>
        <w:t> </w:t>
      </w:r>
      <w:r>
        <w:rPr>
          <w:rFonts w:ascii="Times New Roman" w:hAnsi="Times New Roman"/>
          <w:b w:val="false"/>
          <w:i w:val="false"/>
          <w:color w:val="000000"/>
          <w:sz w:val="22"/>
        </w:rPr>
        <w:t>Results of the examination must be received by the board of respiratory care and polysomnography by one of the following methods: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Scores are sent directly from the examination service to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copy of a certificate showing proof of the successful achievement of the certified respiratory therapist (CRT) or registered respiratory therapist (RRT) credential awarded by the NBRC is submitted to the board;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copy of the score report or an electronic web-based confirmation by the NBRC showing proof of successful completion is submitted to the board.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8073C</w:t>
      </w:r>
      <w:r>
        <w:rPr>
          <w:rFonts w:ascii="Times New Roman" w:hAnsi="Times New Roman"/>
          <w:b w:val="false"/>
          <w:i w:val="false"/>
          <w:color w:val="000000"/>
          <w:sz w:val="16"/>
        </w:rPr>
        <w:t>, IAB 6/26/24, effective 7/31/24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481—720.4</w:t>
      </w:r>
      <w:r>
        <w:rPr>
          <w:rFonts w:ascii="Times New Roman" w:hAnsi="Times New Roman"/>
          <w:b/>
          <w:i w:val="false"/>
          <w:color w:val="000000"/>
          <w:sz w:val="22"/>
        </w:rPr>
        <w:t xml:space="preserve">(148G,152B) </w:t>
      </w:r>
      <w:r>
        <w:rPr>
          <w:rFonts w:ascii="Times New Roman" w:hAnsi="Times New Roman"/>
          <w:b/>
          <w:i w:val="false"/>
          <w:color w:val="000000"/>
          <w:sz w:val="22"/>
        </w:rPr>
        <w:t xml:space="preserve">Additional requirements for polysomnographic technologist licensure. </w:t>
      </w:r>
      <w:r>
        <w:rPr>
          <w:rFonts w:ascii="Times New Roman" w:hAnsi="Times New Roman"/>
          <w:b w:val="false"/>
          <w:i w:val="false"/>
          <w:color w:val="000000"/>
          <w:sz w:val="22"/>
        </w:rPr>
        <w:t>The following are additional specific criteria for licensure as a polysomnographic technologist: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720.4(1)</w:t>
      </w:r>
      <w:r>
        <w:rPr>
          <w:rFonts w:ascii="Times New Roman" w:hAnsi="Times New Roman"/>
          <w:b w:val="false"/>
          <w:i w:val="false"/>
          <w:color w:val="000000"/>
          <w:sz w:val="22"/>
        </w:rPr>
        <w:t> </w:t>
      </w:r>
      <w:r>
        <w:rPr>
          <w:rFonts w:ascii="Times New Roman" w:hAnsi="Times New Roman"/>
          <w:b w:val="false"/>
          <w:i w:val="false"/>
          <w:color w:val="000000"/>
          <w:sz w:val="22"/>
        </w:rPr>
        <w:t>Graduation from a polysomnographic educational program accredited by CAAHEP. A transcript shall be submitted to the board office directly from the college or university; 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720.4(2)</w:t>
      </w:r>
      <w:r>
        <w:rPr>
          <w:rFonts w:ascii="Times New Roman" w:hAnsi="Times New Roman"/>
          <w:b w:val="false"/>
          <w:i w:val="false"/>
          <w:color w:val="000000"/>
          <w:sz w:val="22"/>
        </w:rPr>
        <w:t> </w:t>
      </w:r>
      <w:r>
        <w:rPr>
          <w:rFonts w:ascii="Times New Roman" w:hAnsi="Times New Roman"/>
          <w:b w:val="false"/>
          <w:i w:val="false"/>
          <w:color w:val="000000"/>
          <w:sz w:val="22"/>
        </w:rPr>
        <w:t>Graduation from an entry into respiratory care professional practice program accredited by CoARC or CAAHEP for which a transcript will be submitted to the board office directly from the college or university; and direct-source verification of 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Completion of a sleep specialist program option accredited by CoARC or CAAHEP,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Obtaining the sleep disorder specialist credential from the NBRC,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Obtaining the registered polysomnographic technologist credential from the BRPT; 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720.4(3)</w:t>
      </w:r>
      <w:r>
        <w:rPr>
          <w:rFonts w:ascii="Times New Roman" w:hAnsi="Times New Roman"/>
          <w:b w:val="false"/>
          <w:i w:val="false"/>
          <w:color w:val="000000"/>
          <w:sz w:val="22"/>
        </w:rPr>
        <w:t> </w:t>
      </w:r>
      <w:r>
        <w:rPr>
          <w:rFonts w:ascii="Times New Roman" w:hAnsi="Times New Roman"/>
          <w:b w:val="false"/>
          <w:i w:val="false"/>
          <w:color w:val="000000"/>
          <w:sz w:val="22"/>
        </w:rPr>
        <w:t>Graduation from an electroneurodiagnostic technologist program with a polysomnographic technology track that is accredited by CAAHEP with the transcript sent directly to the board from the college or university; 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720.4(4)</w:t>
      </w:r>
      <w:r>
        <w:rPr>
          <w:rFonts w:ascii="Times New Roman" w:hAnsi="Times New Roman"/>
          <w:b w:val="false"/>
          <w:i w:val="false"/>
          <w:color w:val="000000"/>
          <w:sz w:val="22"/>
        </w:rPr>
        <w:t> </w:t>
      </w:r>
      <w:r>
        <w:rPr>
          <w:rFonts w:ascii="Times New Roman" w:hAnsi="Times New Roman"/>
          <w:b w:val="false"/>
          <w:i w:val="false"/>
          <w:color w:val="000000"/>
          <w:sz w:val="22"/>
        </w:rPr>
        <w:t xml:space="preserve">Requirements for current Iowa licensees holding a license in a profession other than polysomnography. An individual who holds an active license under Iowa Code section </w:t>
      </w:r>
      <w:hyperlink r:id="rId8">
        <w:r>
          <w:rPr>
            <w:rStyle w:val="Hyperlink"/>
            <w:rFonts w:ascii="Times New Roman" w:hAnsi="Times New Roman"/>
            <w:b w:val="false"/>
            <w:i w:val="false"/>
            <w:color w:val="000000"/>
            <w:sz w:val="22"/>
          </w:rPr>
          <w:t>147.2</w:t>
        </w:r>
      </w:hyperlink>
      <w:r>
        <w:rPr>
          <w:rFonts w:ascii="Times New Roman" w:hAnsi="Times New Roman"/>
          <w:b w:val="false"/>
          <w:i w:val="false"/>
          <w:color w:val="000000"/>
          <w:sz w:val="22"/>
        </w:rPr>
        <w:t xml:space="preserve"> in a profession other than polysomnography and whose license is in good standing with the board for that profession may receive licensure upon verification from the medical director of the individual’s current employer or the medical director’s designee that the individual has completed on-the-job training in the field of polysomnography and is competent to perform polysomnography.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720.4(5)</w:t>
      </w:r>
      <w:r>
        <w:rPr>
          <w:rFonts w:ascii="Times New Roman" w:hAnsi="Times New Roman"/>
          <w:b w:val="false"/>
          <w:i w:val="false"/>
          <w:color w:val="000000"/>
          <w:sz w:val="22"/>
        </w:rPr>
        <w:t> </w:t>
      </w:r>
      <w:r>
        <w:rPr>
          <w:rFonts w:ascii="Times New Roman" w:hAnsi="Times New Roman"/>
          <w:b w:val="false"/>
          <w:i w:val="false"/>
          <w:color w:val="000000"/>
          <w:sz w:val="22"/>
        </w:rPr>
        <w:t>Foreign-trained polysomnographic technologists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Provide an equivalency evaluation of their educational credentials by either International Education Research Foundation, Inc., Credentials Evaluation Service; or International Credentialing Associates, Inc.</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The candidate will bear the expense of the curriculum evaluation.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Provide a copy of the certificate or diploma awarded to the applicant from a respiratory care program in the country in which the applicant was educated.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Receive a final determination from the board regarding the application for licensure.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720.4(6)</w:t>
      </w:r>
      <w:r>
        <w:rPr>
          <w:rFonts w:ascii="Times New Roman" w:hAnsi="Times New Roman"/>
          <w:b w:val="false"/>
          <w:i w:val="false"/>
          <w:color w:val="000000"/>
          <w:sz w:val="22"/>
        </w:rPr>
        <w:t> </w:t>
      </w:r>
      <w:r>
        <w:rPr>
          <w:rFonts w:ascii="Times New Roman" w:hAnsi="Times New Roman"/>
          <w:b w:val="false"/>
          <w:i w:val="false"/>
          <w:color w:val="000000"/>
          <w:sz w:val="22"/>
        </w:rPr>
        <w:t xml:space="preserve">Licensure by proof of work experience. An applicant who has relocated to Iowa from a state that did not require licensure to practice the profession may submit proof of work experience in lieu of educational and training requirements, if eligible, in accordance with rule </w:t>
      </w:r>
      <w:hyperlink r:id="rId9">
        <w:r>
          <w:rPr>
            <w:rStyle w:val="Hyperlink"/>
            <w:rFonts w:ascii="Times New Roman" w:hAnsi="Times New Roman"/>
            <w:b w:val="false"/>
            <w:i w:val="false"/>
            <w:color w:val="000000"/>
            <w:sz w:val="22"/>
          </w:rPr>
          <w:t>481—501.2</w:t>
        </w:r>
      </w:hyperlink>
      <w:r>
        <w:rPr>
          <w:rFonts w:ascii="Times New Roman" w:hAnsi="Times New Roman"/>
          <w:b w:val="false"/>
          <w:i w:val="false"/>
          <w:color w:val="000000"/>
          <w:sz w:val="22"/>
        </w:rPr>
        <w:t>(272C).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720.4(7)</w:t>
      </w:r>
      <w:r>
        <w:rPr>
          <w:rFonts w:ascii="Times New Roman" w:hAnsi="Times New Roman"/>
          <w:b w:val="false"/>
          <w:i w:val="false"/>
          <w:color w:val="000000"/>
          <w:sz w:val="22"/>
        </w:rPr>
        <w:t> </w:t>
      </w:r>
      <w:r>
        <w:rPr>
          <w:rFonts w:ascii="Times New Roman" w:hAnsi="Times New Roman"/>
          <w:b w:val="false"/>
          <w:i w:val="false"/>
          <w:color w:val="000000"/>
          <w:sz w:val="22"/>
        </w:rPr>
        <w:t xml:space="preserve">Licensure by verification. A person who is licensed in another jurisdiction but who is unable to satisfy the requirements for licensure by endorsement may apply for licensure by verification, if eligible, in accordance with rule </w:t>
      </w:r>
      <w:hyperlink r:id="rId10">
        <w:r>
          <w:rPr>
            <w:rStyle w:val="Hyperlink"/>
            <w:rFonts w:ascii="Times New Roman" w:hAnsi="Times New Roman"/>
            <w:b w:val="false"/>
            <w:i w:val="false"/>
            <w:color w:val="000000"/>
            <w:sz w:val="22"/>
          </w:rPr>
          <w:t>481—501.1</w:t>
        </w:r>
      </w:hyperlink>
      <w:r>
        <w:rPr>
          <w:rFonts w:ascii="Times New Roman" w:hAnsi="Times New Roman"/>
          <w:b w:val="false"/>
          <w:i w:val="false"/>
          <w:color w:val="000000"/>
          <w:sz w:val="22"/>
        </w:rPr>
        <w:t>(272C).</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8073C</w:t>
      </w:r>
      <w:r>
        <w:rPr>
          <w:rFonts w:ascii="Times New Roman" w:hAnsi="Times New Roman"/>
          <w:b w:val="false"/>
          <w:i w:val="false"/>
          <w:color w:val="000000"/>
          <w:sz w:val="16"/>
        </w:rPr>
        <w:t>, IAB 6/26/24, effective 7/31/24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481—720.5</w:t>
      </w:r>
      <w:r>
        <w:rPr>
          <w:rFonts w:ascii="Times New Roman" w:hAnsi="Times New Roman"/>
          <w:b/>
          <w:i w:val="false"/>
          <w:color w:val="000000"/>
          <w:sz w:val="22"/>
        </w:rPr>
        <w:t xml:space="preserve">(148G,152B) </w:t>
      </w:r>
      <w:r>
        <w:rPr>
          <w:rFonts w:ascii="Times New Roman" w:hAnsi="Times New Roman"/>
          <w:b/>
          <w:i w:val="false"/>
          <w:color w:val="000000"/>
          <w:sz w:val="22"/>
        </w:rPr>
        <w:t xml:space="preserve">Requirements for dual licensure. </w:t>
      </w:r>
      <w:r>
        <w:rPr>
          <w:rFonts w:ascii="Times New Roman" w:hAnsi="Times New Roman"/>
          <w:b w:val="false"/>
          <w:i w:val="false"/>
          <w:color w:val="000000"/>
          <w:sz w:val="22"/>
        </w:rPr>
        <w:t xml:space="preserve">The following are additional specific criteria for licensure as a respiratory care and polysomnography practitioner. An applicant for licensure as a respiratory care and polysomnography practitioner shall meet the requirements of </w:t>
      </w:r>
      <w:hyperlink r:id="rId11">
        <w:r>
          <w:rPr>
            <w:rStyle w:val="Hyperlink"/>
            <w:rFonts w:ascii="Times New Roman" w:hAnsi="Times New Roman"/>
            <w:b w:val="false"/>
            <w:i w:val="false"/>
            <w:color w:val="000000"/>
            <w:sz w:val="22"/>
          </w:rPr>
          <w:t>subrules 720.5(1)</w:t>
        </w:r>
      </w:hyperlink>
      <w:r>
        <w:rPr>
          <w:rFonts w:ascii="Times New Roman" w:hAnsi="Times New Roman"/>
          <w:b w:val="false"/>
          <w:i w:val="false"/>
          <w:color w:val="000000"/>
          <w:sz w:val="22"/>
        </w:rPr>
        <w:t xml:space="preserve"> and </w:t>
      </w:r>
      <w:r>
        <w:rPr>
          <w:rFonts w:ascii="Times New Roman" w:hAnsi="Times New Roman"/>
          <w:b w:val="false"/>
          <w:i w:val="false"/>
          <w:color w:val="000000"/>
          <w:sz w:val="22"/>
        </w:rPr>
        <w:t>720.5(2)</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720.5(1)</w:t>
      </w:r>
      <w:r>
        <w:rPr>
          <w:rFonts w:ascii="Times New Roman" w:hAnsi="Times New Roman"/>
          <w:b w:val="false"/>
          <w:i w:val="false"/>
          <w:color w:val="000000"/>
          <w:sz w:val="22"/>
        </w:rPr>
        <w:t> </w:t>
      </w:r>
      <w:r>
        <w:rPr>
          <w:rFonts w:ascii="Times New Roman" w:hAnsi="Times New Roman"/>
          <w:b w:val="false"/>
          <w:i w:val="false"/>
          <w:color w:val="000000"/>
          <w:sz w:val="22"/>
        </w:rPr>
        <w:t>The applicant shall have successfully completed a respiratory care education program accredited by, or under a letter of review from, CoARC or CAAHEP.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Foreign-trained practitioners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Provide an equivalency evaluation of their educational credentials by International Education Research Foundation, Inc., Credentials Evaluation Service; or International Credentialing Associates, Inc. The professional curriculum must be equivalent to that stated in these rules. The candidate will bear the expense of the curriculum evaluation.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Provide a copy of the certificate or diploma awarded to the applicant from the program in the country in which the applicant was educated.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Receive a final determination from the board regarding the application for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Examination requirements. The examinations required by the board shall be the Therapist Multiple-Choice Examination administered by the NBRC and either the Sleep Disorders Specialist Examination (SDS) administered by the NBRC or the Registered Polysomnographic Technologist Examination administered by the BRPT. The minimum passing score established by the NBRC or BRPT is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Results of the examination. Results of the examination must be received by the board of respiratory care and polysomnography by one of the following methods: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Scores are sent directly from the examination service to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copy of a certificate showing proof of the successful achievement of the CRT or RRT credential awarded by the NBRC submitted to the board;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copy of the score report or an electronic web-based confirmation by the NBRC showing proof of successful completion of the Therapist Multiple-Choice Examination, State Clinical Examination, or Certified Respiratory Therapist Examination administered by the NBRC submitted to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720.5(2)</w:t>
      </w:r>
      <w:r>
        <w:rPr>
          <w:rFonts w:ascii="Times New Roman" w:hAnsi="Times New Roman"/>
          <w:b w:val="false"/>
          <w:i w:val="false"/>
          <w:color w:val="000000"/>
          <w:sz w:val="22"/>
        </w:rPr>
        <w:t> </w:t>
      </w:r>
      <w:r>
        <w:rPr>
          <w:rFonts w:ascii="Times New Roman" w:hAnsi="Times New Roman"/>
          <w:b w:val="false"/>
          <w:i w:val="false"/>
          <w:color w:val="000000"/>
          <w:sz w:val="22"/>
        </w:rPr>
        <w:t>The applicant must also meet one of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Graduation from a polysomnographic educational program accredited by CAAHEP, with the transcript sent directly from the college or university to the board;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Completion of a sleep specialist program option accredited by CoARC or CAAHEP with the transcript submitted to the board office directly from the college or university; and direct-source verification of 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Completion of the curriculum for a polysomnographic certificate established and accredited by the CAAHEP as an extension of the respiratory care program,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Obtaining the sleep disorder specialist credential from the NBRC,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Obtaining the registered polysomnographic technologist credential from the BRPT;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Graduation from an electroneurodiagnostic technologist program with a polysomnographic technology track that is accredited by CAAHEP, with the transcript submitted to the board office directly from the college or university;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Hold an active license under Iowa Code section </w:t>
      </w:r>
      <w:hyperlink r:id="rId12">
        <w:r>
          <w:rPr>
            <w:rStyle w:val="Hyperlink"/>
            <w:rFonts w:ascii="Times New Roman" w:hAnsi="Times New Roman"/>
            <w:b w:val="false"/>
            <w:i w:val="false"/>
            <w:color w:val="000000"/>
            <w:sz w:val="22"/>
          </w:rPr>
          <w:t>147.2</w:t>
        </w:r>
      </w:hyperlink>
      <w:r>
        <w:rPr>
          <w:rFonts w:ascii="Times New Roman" w:hAnsi="Times New Roman"/>
          <w:b w:val="false"/>
          <w:i w:val="false"/>
          <w:color w:val="000000"/>
          <w:sz w:val="22"/>
        </w:rPr>
        <w:t xml:space="preserve"> in a profession other than polysomnography that is in good standing with the board for that profession and provide verification from the medical director of the applicant’s current employer or the medical director’s designee that the applicant has completed on-the-job training in the field of polysomnography and is competent to perform polysomnography.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8073C</w:t>
      </w:r>
      <w:r>
        <w:rPr>
          <w:rFonts w:ascii="Times New Roman" w:hAnsi="Times New Roman"/>
          <w:b w:val="false"/>
          <w:i w:val="false"/>
          <w:color w:val="000000"/>
          <w:sz w:val="16"/>
        </w:rPr>
        <w:t>, IAB 6/26/24, effective 7/31/24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481—720.6</w:t>
      </w:r>
      <w:r>
        <w:rPr>
          <w:rFonts w:ascii="Times New Roman" w:hAnsi="Times New Roman"/>
          <w:b/>
          <w:i w:val="false"/>
          <w:color w:val="000000"/>
          <w:sz w:val="22"/>
        </w:rPr>
        <w:t xml:space="preserve">(148G,152B) </w:t>
      </w:r>
      <w:r>
        <w:rPr>
          <w:rFonts w:ascii="Times New Roman" w:hAnsi="Times New Roman"/>
          <w:b/>
          <w:i w:val="false"/>
          <w:color w:val="000000"/>
          <w:sz w:val="22"/>
        </w:rPr>
        <w:t xml:space="preserve">License renewal.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720.6(1)</w:t>
      </w:r>
      <w:r>
        <w:rPr>
          <w:rFonts w:ascii="Times New Roman" w:hAnsi="Times New Roman"/>
          <w:b w:val="false"/>
          <w:i w:val="false"/>
          <w:color w:val="000000"/>
          <w:sz w:val="22"/>
        </w:rPr>
        <w:t> </w:t>
      </w:r>
      <w:r>
        <w:rPr>
          <w:rFonts w:ascii="Times New Roman" w:hAnsi="Times New Roman"/>
          <w:b w:val="false"/>
          <w:i w:val="false"/>
          <w:color w:val="000000"/>
          <w:sz w:val="22"/>
        </w:rPr>
        <w:t>The biennial license renewal period for a license will begin on April 1 of an even-numbered year and end on March 31 of the next even-numbered year. The licensee is responsible for renewing the license prior to its expiration.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720.6(2)</w:t>
      </w:r>
      <w:r>
        <w:rPr>
          <w:rFonts w:ascii="Times New Roman" w:hAnsi="Times New Roman"/>
          <w:b w:val="false"/>
          <w:i w:val="false"/>
          <w:color w:val="000000"/>
          <w:sz w:val="22"/>
        </w:rPr>
        <w:t> </w:t>
      </w:r>
      <w:r>
        <w:rPr>
          <w:rFonts w:ascii="Times New Roman" w:hAnsi="Times New Roman"/>
          <w:b w:val="false"/>
          <w:i w:val="false"/>
          <w:color w:val="000000"/>
          <w:sz w:val="22"/>
        </w:rPr>
        <w:t>An individual who was issued an initial license within six months of the license renewal date does not need to renew the license until the subsequent renewal two years later.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720.6(3)</w:t>
      </w:r>
      <w:r>
        <w:rPr>
          <w:rFonts w:ascii="Times New Roman" w:hAnsi="Times New Roman"/>
          <w:b w:val="false"/>
          <w:i w:val="false"/>
          <w:color w:val="000000"/>
          <w:sz w:val="22"/>
        </w:rPr>
        <w:t> </w:t>
      </w:r>
      <w:r>
        <w:rPr>
          <w:rFonts w:ascii="Times New Roman" w:hAnsi="Times New Roman"/>
          <w:b w:val="false"/>
          <w:i w:val="false"/>
          <w:color w:val="000000"/>
          <w:sz w:val="22"/>
        </w:rPr>
        <w:t>A licensee seeking renewal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Meet the continuing education requirements of rule </w:t>
      </w:r>
      <w:hyperlink r:id="rId13">
        <w:r>
          <w:rPr>
            <w:rStyle w:val="Hyperlink"/>
            <w:rFonts w:ascii="Times New Roman" w:hAnsi="Times New Roman"/>
            <w:b w:val="false"/>
            <w:i w:val="false"/>
            <w:color w:val="000000"/>
            <w:sz w:val="22"/>
          </w:rPr>
          <w:t>481—721.2</w:t>
        </w:r>
      </w:hyperlink>
      <w:r>
        <w:rPr>
          <w:rFonts w:ascii="Times New Roman" w:hAnsi="Times New Roman"/>
          <w:b w:val="false"/>
          <w:i w:val="false"/>
          <w:color w:val="000000"/>
          <w:sz w:val="22"/>
        </w:rPr>
        <w:t xml:space="preserve">(148G,152B,272C) and the mandatory reporting requirements of </w:t>
      </w:r>
      <w:hyperlink r:id="rId14">
        <w:r>
          <w:rPr>
            <w:rStyle w:val="Hyperlink"/>
            <w:rFonts w:ascii="Times New Roman" w:hAnsi="Times New Roman"/>
            <w:b w:val="false"/>
            <w:i w:val="false"/>
            <w:color w:val="000000"/>
            <w:sz w:val="22"/>
          </w:rPr>
          <w:t>subrule 720.8(4)</w:t>
        </w:r>
      </w:hyperlink>
      <w:r>
        <w:rPr>
          <w:rFonts w:ascii="Times New Roman" w:hAnsi="Times New Roman"/>
          <w:b w:val="false"/>
          <w:i w:val="false"/>
          <w:color w:val="000000"/>
          <w:sz w:val="22"/>
        </w:rPr>
        <w:t>. A licensee whose license was reactivated during the current renewal compliance period may use continuing education credit earned during the compliance period for the first renewal following reactivation;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Submit the completed renewal application and renewal fee before the license expiration date.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720.6(4)</w:t>
      </w:r>
      <w:r>
        <w:rPr>
          <w:rFonts w:ascii="Times New Roman" w:hAnsi="Times New Roman"/>
          <w:b w:val="false"/>
          <w:i w:val="false"/>
          <w:color w:val="000000"/>
          <w:sz w:val="22"/>
        </w:rPr>
        <w:t> </w:t>
      </w:r>
      <w:r>
        <w:rPr>
          <w:rFonts w:ascii="Times New Roman" w:hAnsi="Times New Roman"/>
          <w:b w:val="false"/>
          <w:i w:val="false"/>
          <w:color w:val="000000"/>
          <w:sz w:val="22"/>
        </w:rPr>
        <w:t>Mandatory reporter training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licensee who, in the scope of professional practice or in the licensee’s employment responsibilities, examines, attends, counsels or treats children and dependent adults in Iowa will complete the applicable department of health and human services training relating to the identification and reporting of child and dependent adult abuse as required by Iowa Code section </w:t>
      </w:r>
      <w:hyperlink r:id="rId15">
        <w:r>
          <w:rPr>
            <w:rStyle w:val="Hyperlink"/>
            <w:rFonts w:ascii="Times New Roman" w:hAnsi="Times New Roman"/>
            <w:b w:val="false"/>
            <w:i w:val="false"/>
            <w:color w:val="000000"/>
            <w:sz w:val="22"/>
          </w:rPr>
          <w:t>232.69(3)</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requirement for mandatory training for identifying and reporting child and dependent adult abuse will be suspended if the board determines that suspension is in the public interest or that a person at the time of license renewal: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Is engaged in active duty in the military service of this state or the United States.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Holds a current waiver by the board based on evidence of significant hardship in complying with training requirements, including an exemption of continuing education requirements or extension of time in which to fulfill requirements due to a physical or mental disability or illness as identified in </w:t>
      </w:r>
      <w:hyperlink r:id="rId16">
        <w:r>
          <w:rPr>
            <w:rStyle w:val="Hyperlink"/>
            <w:rFonts w:ascii="Times New Roman" w:hAnsi="Times New Roman"/>
            <w:b w:val="false"/>
            <w:i w:val="false"/>
            <w:color w:val="000000"/>
            <w:sz w:val="22"/>
          </w:rPr>
          <w:t>481—Chapter 721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board may select licensees for audit of compliance with the requirements in paragraphs </w:t>
      </w:r>
      <w:r>
        <w:rPr>
          <w:rFonts w:ascii="Times New Roman" w:hAnsi="Times New Roman"/>
          <w:b w:val="false"/>
          <w:i w:val="false"/>
          <w:color w:val="000000"/>
          <w:sz w:val="22"/>
        </w:rPr>
        <w:t>720.6(4)</w:t>
      </w:r>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720.6(5)</w:t>
      </w:r>
      <w:r>
        <w:rPr>
          <w:rFonts w:ascii="Times New Roman" w:hAnsi="Times New Roman"/>
          <w:b w:val="false"/>
          <w:i w:val="false"/>
          <w:color w:val="000000"/>
          <w:sz w:val="22"/>
        </w:rPr>
        <w:t> </w:t>
      </w:r>
      <w:r>
        <w:rPr>
          <w:rFonts w:ascii="Times New Roman" w:hAnsi="Times New Roman"/>
          <w:b w:val="false"/>
          <w:i w:val="false"/>
          <w:color w:val="000000"/>
          <w:sz w:val="22"/>
        </w:rPr>
        <w:t>Upon receiving the information and the fee, a two-year license will be administratively issued. In the event the board receives adverse information on the renewal application, the renewal license will be issued but the board may refer the adverse information for further consideration or disciplinary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720.6(6)</w:t>
      </w:r>
      <w:r>
        <w:rPr>
          <w:rFonts w:ascii="Times New Roman" w:hAnsi="Times New Roman"/>
          <w:b w:val="false"/>
          <w:i w:val="false"/>
          <w:color w:val="000000"/>
          <w:sz w:val="22"/>
        </w:rPr>
        <w:t> </w:t>
      </w:r>
      <w:r>
        <w:rPr>
          <w:rFonts w:ascii="Times New Roman" w:hAnsi="Times New Roman"/>
          <w:b w:val="false"/>
          <w:i w:val="false"/>
          <w:color w:val="000000"/>
          <w:sz w:val="22"/>
        </w:rPr>
        <w:t>The license certificate and proof of active licensure will be displayed in a conspicuous public place at the primary site of practice.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720.6(7)</w:t>
      </w:r>
      <w:r>
        <w:rPr>
          <w:rFonts w:ascii="Times New Roman" w:hAnsi="Times New Roman"/>
          <w:b w:val="false"/>
          <w:i w:val="false"/>
          <w:color w:val="000000"/>
          <w:sz w:val="22"/>
        </w:rPr>
        <w:t> </w:t>
      </w:r>
      <w:r>
        <w:rPr>
          <w:rFonts w:ascii="Times New Roman" w:hAnsi="Times New Roman"/>
          <w:b w:val="false"/>
          <w:i w:val="false"/>
          <w:color w:val="000000"/>
          <w:sz w:val="22"/>
        </w:rPr>
        <w:t xml:space="preserve">Late renewal. A license not renewed by the expiration date will be assessed a late fee as specified in rule </w:t>
      </w:r>
      <w:hyperlink r:id="rId17">
        <w:r>
          <w:rPr>
            <w:rStyle w:val="Hyperlink"/>
            <w:rFonts w:ascii="Times New Roman" w:hAnsi="Times New Roman"/>
            <w:b w:val="false"/>
            <w:i w:val="false"/>
            <w:color w:val="000000"/>
            <w:sz w:val="22"/>
          </w:rPr>
          <w:t>481—507.17</w:t>
        </w:r>
      </w:hyperlink>
      <w:r>
        <w:rPr>
          <w:rFonts w:ascii="Times New Roman" w:hAnsi="Times New Roman"/>
          <w:b w:val="false"/>
          <w:i w:val="false"/>
          <w:color w:val="000000"/>
          <w:sz w:val="22"/>
        </w:rPr>
        <w:t>(147,152B). Completion of renewal requirements and submission of the late fee within the grace period are needed to renew the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720.6(8)</w:t>
      </w:r>
      <w:r>
        <w:rPr>
          <w:rFonts w:ascii="Times New Roman" w:hAnsi="Times New Roman"/>
          <w:b w:val="false"/>
          <w:i w:val="false"/>
          <w:color w:val="000000"/>
          <w:sz w:val="22"/>
        </w:rPr>
        <w:t> </w:t>
      </w:r>
      <w:r>
        <w:rPr>
          <w:rFonts w:ascii="Times New Roman" w:hAnsi="Times New Roman"/>
          <w:b w:val="false"/>
          <w:i w:val="false"/>
          <w:color w:val="000000"/>
          <w:sz w:val="22"/>
        </w:rPr>
        <w:t xml:space="preserve">Inactive license. A license not renewed by the end of the grace period is inactive. A licensee whose license is inactive continues to hold the privilege of licensure in Iowa, but may not practice respiratory care in Iowa until the license is reactivated. A licensee who practices respiratory care in the state of Iowa with an inactive license may be subject to disciplinary action by the board, injunctive action pursuant to Iowa Code section </w:t>
      </w:r>
      <w:hyperlink r:id="rId18">
        <w:r>
          <w:rPr>
            <w:rStyle w:val="Hyperlink"/>
            <w:rFonts w:ascii="Times New Roman" w:hAnsi="Times New Roman"/>
            <w:b w:val="false"/>
            <w:i w:val="false"/>
            <w:color w:val="000000"/>
            <w:sz w:val="22"/>
          </w:rPr>
          <w:t>147.83</w:t>
        </w:r>
      </w:hyperlink>
      <w:r>
        <w:rPr>
          <w:rFonts w:ascii="Times New Roman" w:hAnsi="Times New Roman"/>
          <w:b w:val="false"/>
          <w:i w:val="false"/>
          <w:color w:val="000000"/>
          <w:sz w:val="22"/>
        </w:rPr>
        <w:t xml:space="preserve">, criminal sanctions pursuant to Iowa Code section </w:t>
      </w:r>
      <w:hyperlink r:id="rId19">
        <w:r>
          <w:rPr>
            <w:rStyle w:val="Hyperlink"/>
            <w:rFonts w:ascii="Times New Roman" w:hAnsi="Times New Roman"/>
            <w:b w:val="false"/>
            <w:i w:val="false"/>
            <w:color w:val="000000"/>
            <w:sz w:val="22"/>
          </w:rPr>
          <w:t>147.86</w:t>
        </w:r>
      </w:hyperlink>
      <w:r>
        <w:rPr>
          <w:rFonts w:ascii="Times New Roman" w:hAnsi="Times New Roman"/>
          <w:b w:val="false"/>
          <w:i w:val="false"/>
          <w:color w:val="000000"/>
          <w:sz w:val="22"/>
        </w:rPr>
        <w:t>, and other available legal remedies.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8073C</w:t>
      </w:r>
      <w:r>
        <w:rPr>
          <w:rFonts w:ascii="Times New Roman" w:hAnsi="Times New Roman"/>
          <w:b w:val="false"/>
          <w:i w:val="false"/>
          <w:color w:val="000000"/>
          <w:sz w:val="16"/>
        </w:rPr>
        <w:t>, IAB 6/26/24, effective 7/31/24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481—720.7</w:t>
      </w:r>
      <w:r>
        <w:rPr>
          <w:rFonts w:ascii="Times New Roman" w:hAnsi="Times New Roman"/>
          <w:b/>
          <w:i w:val="false"/>
          <w:color w:val="000000"/>
          <w:sz w:val="22"/>
        </w:rPr>
        <w:t xml:space="preserve">(17A,147,272C) </w:t>
      </w:r>
      <w:r>
        <w:rPr>
          <w:rFonts w:ascii="Times New Roman" w:hAnsi="Times New Roman"/>
          <w:b/>
          <w:i w:val="false"/>
          <w:color w:val="000000"/>
          <w:sz w:val="22"/>
        </w:rPr>
        <w:t xml:space="preserve">License reactivation. </w:t>
      </w:r>
      <w:r>
        <w:rPr>
          <w:rFonts w:ascii="Times New Roman" w:hAnsi="Times New Roman"/>
          <w:b w:val="false"/>
          <w:i w:val="false"/>
          <w:color w:val="000000"/>
          <w:sz w:val="22"/>
        </w:rPr>
        <w:t>To apply for reactivation of an inactive license, a licensee shall: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720.7(1)</w:t>
      </w:r>
      <w:r>
        <w:rPr>
          <w:rFonts w:ascii="Times New Roman" w:hAnsi="Times New Roman"/>
          <w:b w:val="false"/>
          <w:i w:val="false"/>
          <w:color w:val="000000"/>
          <w:sz w:val="22"/>
        </w:rPr>
        <w:t> </w:t>
      </w:r>
      <w:r>
        <w:rPr>
          <w:rFonts w:ascii="Times New Roman" w:hAnsi="Times New Roman"/>
          <w:b w:val="false"/>
          <w:i w:val="false"/>
          <w:color w:val="000000"/>
          <w:sz w:val="22"/>
        </w:rPr>
        <w:t xml:space="preserve">Submit a reactivation application and pay the reactivation fee specified in rule </w:t>
      </w:r>
      <w:hyperlink r:id="rId20">
        <w:r>
          <w:rPr>
            <w:rStyle w:val="Hyperlink"/>
            <w:rFonts w:ascii="Times New Roman" w:hAnsi="Times New Roman"/>
            <w:b w:val="false"/>
            <w:i w:val="false"/>
            <w:color w:val="000000"/>
            <w:sz w:val="22"/>
          </w:rPr>
          <w:t>481—507.17</w:t>
        </w:r>
      </w:hyperlink>
      <w:r>
        <w:rPr>
          <w:rFonts w:ascii="Times New Roman" w:hAnsi="Times New Roman"/>
          <w:b w:val="false"/>
          <w:i w:val="false"/>
          <w:color w:val="000000"/>
          <w:sz w:val="22"/>
        </w:rPr>
        <w:t>(147,152B).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720.7(2)</w:t>
      </w:r>
      <w:r>
        <w:rPr>
          <w:rFonts w:ascii="Times New Roman" w:hAnsi="Times New Roman"/>
          <w:b w:val="false"/>
          <w:i w:val="false"/>
          <w:color w:val="000000"/>
          <w:sz w:val="22"/>
        </w:rPr>
        <w:t> </w:t>
      </w:r>
      <w:r>
        <w:rPr>
          <w:rFonts w:ascii="Times New Roman" w:hAnsi="Times New Roman"/>
          <w:b w:val="false"/>
          <w:i w:val="false"/>
          <w:color w:val="000000"/>
          <w:sz w:val="22"/>
        </w:rPr>
        <w:t>If the license has been inactive for two or more years, submit two completed fingerprint cards to facilitate a national criminal history background check. The cost for the evaluation of the fingerprint packet and the DCI and FBI criminal history background checks will be assessed to the applicant. The board may withhold issuing a license pending receipt of a report from the DCI and FBI.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720.7(3)</w:t>
      </w:r>
      <w:r>
        <w:rPr>
          <w:rFonts w:ascii="Times New Roman" w:hAnsi="Times New Roman"/>
          <w:b w:val="false"/>
          <w:i w:val="false"/>
          <w:color w:val="000000"/>
          <w:sz w:val="22"/>
        </w:rPr>
        <w:t> </w:t>
      </w:r>
      <w:r>
        <w:rPr>
          <w:rFonts w:ascii="Times New Roman" w:hAnsi="Times New Roman"/>
          <w:b w:val="false"/>
          <w:i w:val="false"/>
          <w:color w:val="000000"/>
          <w:sz w:val="22"/>
        </w:rPr>
        <w:t>Provide verification of current competence to practice by satisfying one of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license has been on inactive status for five years or less, an applicant must provide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Verification of the license from the jurisdiction in which the applicant has most recently been practicing during the time period the Iowa license was inactive, sent directly from the jurisdiction to the board office. The applicant must also disclose any public or pending complaints against the applicant in any other jurisdiction. Web-based verification may be substituted for verification from a jurisdiction’s board office if the verification includes: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Licensee’s 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Date of initial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Current licensure status;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Any disciplinary action taken against the license;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Verification of completion of continuing education that conforms to standards defined in rule </w:t>
      </w:r>
      <w:hyperlink r:id="rId21">
        <w:r>
          <w:rPr>
            <w:rStyle w:val="Hyperlink"/>
            <w:rFonts w:ascii="Times New Roman" w:hAnsi="Times New Roman"/>
            <w:b w:val="false"/>
            <w:i w:val="false"/>
            <w:color w:val="000000"/>
            <w:sz w:val="22"/>
          </w:rPr>
          <w:t>481—721.3</w:t>
        </w:r>
      </w:hyperlink>
      <w:r>
        <w:rPr>
          <w:rFonts w:ascii="Times New Roman" w:hAnsi="Times New Roman"/>
          <w:b w:val="false"/>
          <w:i w:val="false"/>
          <w:color w:val="000000"/>
          <w:sz w:val="22"/>
        </w:rPr>
        <w:t>(148G,152B,272C) within 24 months immediately preceding submission of the application for reactivation; or verification of active practice, consisting of a minimum of 2,080 hours, in another state or jurisdiction within 24 months immediately preceding an application for reactivation.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 respiratory care practitioners: 24 hours of continuing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 polysomnographic technologists: 24 hours of continuing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For respiratory care and polysomnography practitioners: 24 hours of continuing education, of which at least 8 hours but no more than 12 hours shall be on sleep-related topics.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license has been on inactive status for more than five years, an applicant must provide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Verification of the license from the jurisdiction in which the applicant has most recently been practicing during the time period the Iowa license was inactive, sent directly from the jurisdiction to the board office. The applicant must also disclose any public or pending complaints against the applicant in any other jurisdiction. Web-based verification may be substituted for verification from a jurisdiction’s board office if the verification includes: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Licensee’s 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Date of initial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Current licensure status;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Any disciplinary action taken against the license;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Verification of completion of continuing education that conforms to standards defined in rule </w:t>
      </w:r>
      <w:hyperlink r:id="rId22">
        <w:r>
          <w:rPr>
            <w:rStyle w:val="Hyperlink"/>
            <w:rFonts w:ascii="Times New Roman" w:hAnsi="Times New Roman"/>
            <w:b w:val="false"/>
            <w:i w:val="false"/>
            <w:color w:val="000000"/>
            <w:sz w:val="22"/>
          </w:rPr>
          <w:t>481—721.3</w:t>
        </w:r>
      </w:hyperlink>
      <w:r>
        <w:rPr>
          <w:rFonts w:ascii="Times New Roman" w:hAnsi="Times New Roman"/>
          <w:b w:val="false"/>
          <w:i w:val="false"/>
          <w:color w:val="000000"/>
          <w:sz w:val="22"/>
        </w:rPr>
        <w:t>(148G,152B,272C) within 24 months immediately preceding submission of the application for reactivation; or verification of active practice, consisting of a minimum of 2,080 hours, in another state or jurisdiction within 24 months immediately preceding an application for reactivation.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 respiratory care practitioners: 48 hours of continuing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 polysomnographic technologists: 48 hours of continuing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For respiratory care and polysomnography practitioners: 48 hours of continuing education of which at least 16 hours but no more than 24 hours shall be on sleep-related topics.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720.7(4)</w:t>
      </w:r>
      <w:r>
        <w:rPr>
          <w:rFonts w:ascii="Times New Roman" w:hAnsi="Times New Roman"/>
          <w:b w:val="false"/>
          <w:i w:val="false"/>
          <w:color w:val="000000"/>
          <w:sz w:val="22"/>
        </w:rPr>
        <w:t> </w:t>
      </w:r>
      <w:r>
        <w:rPr>
          <w:rFonts w:ascii="Times New Roman" w:hAnsi="Times New Roman"/>
          <w:b w:val="false"/>
          <w:i w:val="false"/>
          <w:color w:val="000000"/>
          <w:sz w:val="22"/>
        </w:rPr>
        <w:t>Submit a sworn statement of previous active practice from an employer or professional associate, detailing places and dates of employment and verifying that the applicant has practiced at least 2,080 hours or taught as the equivalent of a full-time faculty member for at least one of the immediately preceding years during the last two-year time period. Sole proprietors may submit the sworn statement on their own behalf.</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8073C</w:t>
      </w:r>
      <w:r>
        <w:rPr>
          <w:rFonts w:ascii="Times New Roman" w:hAnsi="Times New Roman"/>
          <w:b w:val="false"/>
          <w:i w:val="false"/>
          <w:color w:val="000000"/>
          <w:sz w:val="16"/>
        </w:rPr>
        <w:t>, IAB 6/26/24, effective 7/31/24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481—720.8</w:t>
      </w:r>
      <w:r>
        <w:rPr>
          <w:rFonts w:ascii="Times New Roman" w:hAnsi="Times New Roman"/>
          <w:b/>
          <w:i w:val="false"/>
          <w:color w:val="000000"/>
          <w:sz w:val="22"/>
        </w:rPr>
        <w:t xml:space="preserve">(17A,147,272C) </w:t>
      </w:r>
      <w:r>
        <w:rPr>
          <w:rFonts w:ascii="Times New Roman" w:hAnsi="Times New Roman"/>
          <w:b/>
          <w:i w:val="false"/>
          <w:color w:val="000000"/>
          <w:sz w:val="22"/>
        </w:rPr>
        <w:t xml:space="preserve">License reinstatement. </w:t>
      </w:r>
      <w:r>
        <w:rPr>
          <w:rFonts w:ascii="Times New Roman" w:hAnsi="Times New Roman"/>
          <w:b w:val="false"/>
          <w:i w:val="false"/>
          <w:color w:val="000000"/>
          <w:sz w:val="22"/>
        </w:rPr>
        <w:t xml:space="preserve">A licensee whose license has been revoked, suspended, or voluntarily surrendered must apply for and receive reinstatement of the license in accordance with rule </w:t>
      </w:r>
      <w:hyperlink r:id="rId23">
        <w:r>
          <w:rPr>
            <w:rStyle w:val="Hyperlink"/>
            <w:rFonts w:ascii="Times New Roman" w:hAnsi="Times New Roman"/>
            <w:b w:val="false"/>
            <w:i w:val="false"/>
            <w:color w:val="000000"/>
            <w:sz w:val="22"/>
          </w:rPr>
          <w:t>481—506.31</w:t>
        </w:r>
      </w:hyperlink>
      <w:r>
        <w:rPr>
          <w:rFonts w:ascii="Times New Roman" w:hAnsi="Times New Roman"/>
          <w:b w:val="false"/>
          <w:i w:val="false"/>
          <w:color w:val="000000"/>
          <w:sz w:val="22"/>
        </w:rPr>
        <w:t xml:space="preserve">(272C) and must apply for and be granted reactivation of the license in accordance with rule </w:t>
      </w:r>
      <w:hyperlink r:id="rId24">
        <w:r>
          <w:rPr>
            <w:rStyle w:val="Hyperlink"/>
            <w:rFonts w:ascii="Times New Roman" w:hAnsi="Times New Roman"/>
            <w:b w:val="false"/>
            <w:i w:val="false"/>
            <w:color w:val="000000"/>
            <w:sz w:val="22"/>
          </w:rPr>
          <w:t>481—720.14</w:t>
        </w:r>
      </w:hyperlink>
      <w:r>
        <w:rPr>
          <w:rFonts w:ascii="Times New Roman" w:hAnsi="Times New Roman"/>
          <w:b w:val="false"/>
          <w:i w:val="false"/>
          <w:color w:val="000000"/>
          <w:sz w:val="22"/>
        </w:rPr>
        <w:t>(17A,147,272C) prior to practicing in this state.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8073C</w:t>
      </w:r>
      <w:r>
        <w:rPr>
          <w:rFonts w:ascii="Times New Roman" w:hAnsi="Times New Roman"/>
          <w:b w:val="false"/>
          <w:i w:val="false"/>
          <w:color w:val="000000"/>
          <w:sz w:val="16"/>
        </w:rPr>
        <w:t>, IAB 6/26/24, effective 7/31/24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chapters </w:t>
      </w:r>
      <w:hyperlink r:id="rId25">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26">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w:t>
      </w:r>
      <w:hyperlink r:id="rId27">
        <w:r>
          <w:rPr>
            <w:rStyle w:val="Hyperlink"/>
            <w:rFonts w:ascii="Times New Roman" w:hAnsi="Times New Roman"/>
            <w:b w:val="false"/>
            <w:i w:val="false"/>
            <w:color w:val="000000"/>
            <w:sz w:val="22"/>
          </w:rPr>
          <w:t>148G</w:t>
        </w:r>
      </w:hyperlink>
      <w:r>
        <w:rPr>
          <w:rFonts w:ascii="Times New Roman" w:hAnsi="Times New Roman"/>
          <w:b w:val="false"/>
          <w:i w:val="false"/>
          <w:color w:val="000000"/>
          <w:sz w:val="22"/>
        </w:rPr>
        <w:t xml:space="preserve">, </w:t>
      </w:r>
      <w:hyperlink r:id="rId28">
        <w:r>
          <w:rPr>
            <w:rStyle w:val="Hyperlink"/>
            <w:rFonts w:ascii="Times New Roman" w:hAnsi="Times New Roman"/>
            <w:b w:val="false"/>
            <w:i w:val="false"/>
            <w:color w:val="000000"/>
            <w:sz w:val="22"/>
          </w:rPr>
          <w:t>152B</w:t>
        </w:r>
      </w:hyperlink>
      <w:r>
        <w:rPr>
          <w:rFonts w:ascii="Times New Roman" w:hAnsi="Times New Roman"/>
          <w:b w:val="false"/>
          <w:i w:val="false"/>
          <w:color w:val="000000"/>
          <w:sz w:val="22"/>
        </w:rPr>
        <w:t xml:space="preserve">, and </w:t>
      </w:r>
      <w:hyperlink r:id="rId29">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3/29/02, Notice 1/23/02—published 4/17/02, effective 5/22/02]</w:t>
      </w:r>
    </w:p>
    <w:p>
      <w:pPr>
        <w:spacing w:before="0" w:after="0"/>
        <w:ind w:left="120"/>
        <w:jc w:val="center"/>
      </w:pPr>
      <w:r>
        <w:rPr>
          <w:rFonts w:ascii="Times New Roman" w:hAnsi="Times New Roman"/>
          <w:b w:val="false"/>
          <w:i w:val="false"/>
          <w:color w:val="000000"/>
          <w:sz w:val="21"/>
        </w:rPr>
        <w:t>[Filed 1/14/04, Notice 10/15/03—published 2/4/04, effective 3/10/04]</w:t>
      </w:r>
    </w:p>
    <w:p>
      <w:pPr>
        <w:spacing w:before="0" w:after="0"/>
        <w:ind w:left="120"/>
        <w:jc w:val="center"/>
      </w:pPr>
      <w:r>
        <w:rPr>
          <w:rFonts w:ascii="Times New Roman" w:hAnsi="Times New Roman"/>
          <w:b w:val="false"/>
          <w:i w:val="false"/>
          <w:color w:val="000000"/>
          <w:sz w:val="21"/>
        </w:rPr>
        <w:t>[Filed 10/8/04, Notice 7/7/04—published 10/27/04, effective 12/1/04]</w:t>
      </w:r>
    </w:p>
    <w:p>
      <w:pPr>
        <w:spacing w:before="0" w:after="0"/>
        <w:ind w:left="120"/>
        <w:jc w:val="center"/>
      </w:pPr>
      <w:r>
        <w:rPr>
          <w:rFonts w:ascii="Times New Roman" w:hAnsi="Times New Roman"/>
          <w:b w:val="false"/>
          <w:i w:val="false"/>
          <w:color w:val="000000"/>
          <w:sz w:val="21"/>
        </w:rPr>
        <w:t>[Filed 5/12/05, Notice 3/16/05—published 6/8/05, effective 7/13/05]</w:t>
      </w:r>
    </w:p>
    <w:p>
      <w:pPr>
        <w:spacing w:before="0" w:after="0"/>
        <w:ind w:left="120"/>
        <w:jc w:val="center"/>
      </w:pPr>
      <w:r>
        <w:rPr>
          <w:rFonts w:ascii="Times New Roman" w:hAnsi="Times New Roman"/>
          <w:b w:val="false"/>
          <w:i w:val="false"/>
          <w:color w:val="000000"/>
          <w:sz w:val="21"/>
        </w:rPr>
        <w:t>[Filed 11/19/05, Notice 9/14/05—published 12/21/05, effective 1/25/06]</w:t>
      </w:r>
    </w:p>
    <w:p>
      <w:pPr>
        <w:spacing w:before="0" w:after="0"/>
        <w:ind w:left="120"/>
        <w:jc w:val="center"/>
      </w:pPr>
      <w:r>
        <w:rPr>
          <w:rFonts w:ascii="Times New Roman" w:hAnsi="Times New Roman"/>
          <w:b w:val="false"/>
          <w:i w:val="false"/>
          <w:color w:val="000000"/>
          <w:sz w:val="21"/>
        </w:rPr>
        <w:t>[Filed 7/23/07, Notice 5/23/07—published 8/15/07, effective 9/19/07]</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10/30/08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8/27/08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11/19/08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1/1/09</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8348B</w:t>
      </w:r>
      <w:r>
        <w:rPr>
          <w:rFonts w:ascii="Times New Roman" w:hAnsi="Times New Roman"/>
          <w:b w:val="false"/>
          <w:i w:val="false"/>
          <w:color w:val="000000"/>
          <w:sz w:val="21"/>
        </w:rPr>
        <w:t xml:space="preserve"> (Notice ARC 8100B, IAB 9/9/09)</w:t>
      </w:r>
      <w:r>
        <w:rPr>
          <w:rFonts w:ascii="Times New Roman" w:hAnsi="Times New Roman"/>
          <w:b w:val="false"/>
          <w:i w:val="false"/>
          <w:color w:val="000000"/>
          <w:sz w:val="21"/>
        </w:rPr>
        <w:t>, IAB 12/2/09, effective 1/6/10]</w:t>
      </w:r>
    </w:p>
    <w:p>
      <w:pPr>
        <w:spacing w:before="0" w:after="0"/>
        <w:ind w:left="120"/>
        <w:jc w:val="center"/>
      </w:pPr>
      <w:r>
        <w:rPr>
          <w:rFonts w:ascii="Times New Roman" w:hAnsi="Times New Roman"/>
          <w:b w:val="false"/>
          <w:i w:val="false"/>
          <w:color w:val="000000"/>
          <w:sz w:val="21"/>
        </w:rPr>
        <w:t>[Filed ARC 9933B</w:t>
      </w:r>
      <w:r>
        <w:rPr>
          <w:rFonts w:ascii="Times New Roman" w:hAnsi="Times New Roman"/>
          <w:b w:val="false"/>
          <w:i w:val="false"/>
          <w:color w:val="000000"/>
          <w:sz w:val="21"/>
        </w:rPr>
        <w:t xml:space="preserve"> (Notice ARC 9595B, IAB 7/13/11)</w:t>
      </w:r>
      <w:r>
        <w:rPr>
          <w:rFonts w:ascii="Times New Roman" w:hAnsi="Times New Roman"/>
          <w:b w:val="false"/>
          <w:i w:val="false"/>
          <w:color w:val="000000"/>
          <w:sz w:val="21"/>
        </w:rPr>
        <w:t>, IAB 12/28/11, effective 2/1/12]</w:t>
      </w:r>
    </w:p>
    <w:p>
      <w:pPr>
        <w:spacing w:before="0" w:after="0"/>
        <w:ind w:left="120"/>
        <w:jc w:val="center"/>
      </w:pPr>
      <w:r>
        <w:rPr>
          <w:rFonts w:ascii="Times New Roman" w:hAnsi="Times New Roman"/>
          <w:b w:val="false"/>
          <w:i w:val="false"/>
          <w:color w:val="000000"/>
          <w:sz w:val="21"/>
        </w:rPr>
        <w:t>[Filed ARC 2323C</w:t>
      </w:r>
      <w:r>
        <w:rPr>
          <w:rFonts w:ascii="Times New Roman" w:hAnsi="Times New Roman"/>
          <w:b w:val="false"/>
          <w:i w:val="false"/>
          <w:color w:val="000000"/>
          <w:sz w:val="21"/>
        </w:rPr>
        <w:t xml:space="preserve"> (Notice ARC 2224C, IAB 10/28/15)</w:t>
      </w:r>
      <w:r>
        <w:rPr>
          <w:rFonts w:ascii="Times New Roman" w:hAnsi="Times New Roman"/>
          <w:b w:val="false"/>
          <w:i w:val="false"/>
          <w:color w:val="000000"/>
          <w:sz w:val="21"/>
        </w:rPr>
        <w:t>, IAB 12/23/15, effective 1/27/16]</w:t>
      </w:r>
    </w:p>
    <w:p>
      <w:pPr>
        <w:spacing w:before="0" w:after="0"/>
        <w:ind w:left="120"/>
        <w:jc w:val="center"/>
      </w:pPr>
      <w:r>
        <w:rPr>
          <w:rFonts w:ascii="Times New Roman" w:hAnsi="Times New Roman"/>
          <w:b w:val="false"/>
          <w:i w:val="false"/>
          <w:color w:val="000000"/>
          <w:sz w:val="21"/>
        </w:rPr>
        <w:t>[Filed ARC 3932C</w:t>
      </w:r>
      <w:r>
        <w:rPr>
          <w:rFonts w:ascii="Times New Roman" w:hAnsi="Times New Roman"/>
          <w:b w:val="false"/>
          <w:i w:val="false"/>
          <w:color w:val="000000"/>
          <w:sz w:val="21"/>
        </w:rPr>
        <w:t xml:space="preserve"> (Notice ARC 3617C, IAB 2/14/18)</w:t>
      </w:r>
      <w:r>
        <w:rPr>
          <w:rFonts w:ascii="Times New Roman" w:hAnsi="Times New Roman"/>
          <w:b w:val="false"/>
          <w:i w:val="false"/>
          <w:color w:val="000000"/>
          <w:sz w:val="21"/>
        </w:rPr>
        <w:t>, IAB 8/1/18, effective 9/5/18]</w:t>
      </w:r>
    </w:p>
    <w:p>
      <w:pPr>
        <w:spacing w:before="0" w:after="0"/>
        <w:ind w:left="120"/>
        <w:jc w:val="center"/>
      </w:pPr>
      <w:r>
        <w:rPr>
          <w:rFonts w:ascii="Times New Roman" w:hAnsi="Times New Roman"/>
          <w:b w:val="false"/>
          <w:i w:val="false"/>
          <w:color w:val="000000"/>
          <w:sz w:val="21"/>
        </w:rPr>
        <w:t>[Filed ARC 5770C</w:t>
      </w:r>
      <w:r>
        <w:rPr>
          <w:rFonts w:ascii="Times New Roman" w:hAnsi="Times New Roman"/>
          <w:b w:val="false"/>
          <w:i w:val="false"/>
          <w:color w:val="000000"/>
          <w:sz w:val="21"/>
        </w:rPr>
        <w:t xml:space="preserve"> (Notice ARC 5446C, IAB 2/24/21)</w:t>
      </w:r>
      <w:r>
        <w:rPr>
          <w:rFonts w:ascii="Times New Roman" w:hAnsi="Times New Roman"/>
          <w:b w:val="false"/>
          <w:i w:val="false"/>
          <w:color w:val="000000"/>
          <w:sz w:val="21"/>
        </w:rPr>
        <w:t>, IAB 7/14/21, effective 8/18/21]</w:t>
      </w:r>
    </w:p>
    <w:p>
      <w:pPr>
        <w:spacing w:before="0" w:after="0"/>
        <w:ind w:left="120"/>
        <w:jc w:val="center"/>
      </w:pPr>
      <w:r>
        <w:rPr>
          <w:rFonts w:ascii="Times New Roman" w:hAnsi="Times New Roman"/>
          <w:b w:val="false"/>
          <w:i w:val="false"/>
          <w:color w:val="000000"/>
          <w:sz w:val="21"/>
        </w:rPr>
        <w:t>[Filed ARC 6993C</w:t>
      </w:r>
      <w:r>
        <w:rPr>
          <w:rFonts w:ascii="Times New Roman" w:hAnsi="Times New Roman"/>
          <w:b w:val="false"/>
          <w:i w:val="false"/>
          <w:color w:val="000000"/>
          <w:sz w:val="21"/>
        </w:rPr>
        <w:t xml:space="preserve"> (Notice ARC 6654C, IAB 11/16/22)</w:t>
      </w:r>
      <w:r>
        <w:rPr>
          <w:rFonts w:ascii="Times New Roman" w:hAnsi="Times New Roman"/>
          <w:b w:val="false"/>
          <w:i w:val="false"/>
          <w:color w:val="000000"/>
          <w:sz w:val="21"/>
        </w:rPr>
        <w:t>, IAB 4/19/23, effective 5/24/23]</w:t>
      </w:r>
    </w:p>
    <w:p>
      <w:pPr>
        <w:spacing w:before="0" w:after="0"/>
        <w:ind w:left="120"/>
        <w:jc w:val="center"/>
      </w:pPr>
      <w:r>
        <w:rPr>
          <w:rFonts w:ascii="Times New Roman" w:hAnsi="Times New Roman"/>
          <w:b w:val="false"/>
          <w:i w:val="false"/>
          <w:color w:val="000000"/>
          <w:sz w:val="21"/>
        </w:rPr>
        <w:t>[Filed ARC 8073C</w:t>
      </w:r>
      <w:r>
        <w:rPr>
          <w:rFonts w:ascii="Times New Roman" w:hAnsi="Times New Roman"/>
          <w:b w:val="false"/>
          <w:i w:val="false"/>
          <w:color w:val="000000"/>
          <w:sz w:val="21"/>
        </w:rPr>
        <w:t xml:space="preserve"> (Notice ARC 7503C, IAB 1/24/24)</w:t>
      </w:r>
      <w:r>
        <w:rPr>
          <w:rFonts w:ascii="Times New Roman" w:hAnsi="Times New Roman"/>
          <w:b w:val="false"/>
          <w:i w:val="false"/>
          <w:color w:val="000000"/>
          <w:sz w:val="21"/>
        </w:rPr>
        <w:t>, IAB 6/26/24, effective 7/31/24]</w:t>
      </w:r>
    </w:p>
    <w:p>
      <w:pPr>
        <w:spacing w:before="0" w:after="0"/>
        <w:ind w:left="120"/>
        <w:jc w:val="center"/>
      </w:pPr>
      <w:r>
        <w:rPr>
          <w:rFonts w:ascii="Times New Roman" w:hAnsi="Times New Roman"/>
          <w:b w:val="false"/>
          <w:i w:val="false"/>
          <w:color w:val="000000"/>
          <w:sz w:val="21"/>
        </w:rPr>
        <w:t>[Editorial change: IAC Supplement 9/18/24]</w:t>
      </w:r>
    </w:p>
    <w:sectPr>
      <w:footerReference r:id="rId30"/>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481.720.14.pdf" Type="http://schemas.openxmlformats.org/officeDocument/2006/relationships/hyperlink" Id="rId5"/>
    <Relationship TargetMode="External" Target="https://www.legis.iowa.gov/docs/iac/rule/481.506.31.pdf" Type="http://schemas.openxmlformats.org/officeDocument/2006/relationships/hyperlink" Id="rId6"/>
    <Relationship TargetMode="External" Target="https://www.legis.iowa.gov/docs/iac/rule/481.507.17.pdf" Type="http://schemas.openxmlformats.org/officeDocument/2006/relationships/hyperlink" Id="rId7"/>
    <Relationship TargetMode="External" Target="https://www.legis.iowa.gov/docs/ico/chapter/147.2.pdf" Type="http://schemas.openxmlformats.org/officeDocument/2006/relationships/hyperlink" Id="rId8"/>
    <Relationship TargetMode="External" Target="https://www.legis.iowa.gov/docs/iac/rule/481.501.2.pdf" Type="http://schemas.openxmlformats.org/officeDocument/2006/relationships/hyperlink" Id="rId9"/>
    <Relationship TargetMode="External" Target="https://www.legis.iowa.gov/docs/iac/rule/481.501.1.pdf" Type="http://schemas.openxmlformats.org/officeDocument/2006/relationships/hyperlink" Id="rId10"/>
    <Relationship TargetMode="External" Target="https://www.legis.iowa.gov/docs/iac/rule/645.261.5.pdf" Type="http://schemas.openxmlformats.org/officeDocument/2006/relationships/hyperlink" Id="rId11"/>
    <Relationship TargetMode="External" Target="https://www.legis.iowa.gov/docs/ico/chapter/147.2.pdf" Type="http://schemas.openxmlformats.org/officeDocument/2006/relationships/hyperlink" Id="rId12"/>
    <Relationship TargetMode="External" Target="https://www.legis.iowa.gov/docs/iac/rule/481.721.2.pdf" Type="http://schemas.openxmlformats.org/officeDocument/2006/relationships/hyperlink" Id="rId13"/>
    <Relationship TargetMode="External" Target="https://www.legis.iowa.gov/docs/iac/rule/645.261.8.pdf" Type="http://schemas.openxmlformats.org/officeDocument/2006/relationships/hyperlink" Id="rId14"/>
    <Relationship TargetMode="External" Target="https://www.legis.iowa.gov/docs/ico/chapter/232.69.pdf" Type="http://schemas.openxmlformats.org/officeDocument/2006/relationships/hyperlink" Id="rId15"/>
    <Relationship TargetMode="External" Target="https://www.legis.iowa.gov/docs/iac/chapter/481.721.pdf" Type="http://schemas.openxmlformats.org/officeDocument/2006/relationships/hyperlink" Id="rId16"/>
    <Relationship TargetMode="External" Target="https://www.legis.iowa.gov/docs/iac/rule/481.507.17.pdf" Type="http://schemas.openxmlformats.org/officeDocument/2006/relationships/hyperlink" Id="rId17"/>
    <Relationship TargetMode="External" Target="https://www.legis.iowa.gov/docs/ico/chapter/147.83.pdf" Type="http://schemas.openxmlformats.org/officeDocument/2006/relationships/hyperlink" Id="rId18"/>
    <Relationship TargetMode="External" Target="https://www.legis.iowa.gov/docs/ico/chapter/147.86.pdf" Type="http://schemas.openxmlformats.org/officeDocument/2006/relationships/hyperlink" Id="rId19"/>
    <Relationship TargetMode="External" Target="https://www.legis.iowa.gov/docs/iac/rule/481.507.17.pdf" Type="http://schemas.openxmlformats.org/officeDocument/2006/relationships/hyperlink" Id="rId20"/>
    <Relationship TargetMode="External" Target="https://www.legis.iowa.gov/docs/iac/rule/481.721.3.pdf" Type="http://schemas.openxmlformats.org/officeDocument/2006/relationships/hyperlink" Id="rId21"/>
    <Relationship TargetMode="External" Target="https://www.legis.iowa.gov/docs/iac/rule/481.721.3.pdf" Type="http://schemas.openxmlformats.org/officeDocument/2006/relationships/hyperlink" Id="rId22"/>
    <Relationship TargetMode="External" Target="https://www.legis.iowa.gov/docs/iac/rule/481.506.31.pdf" Type="http://schemas.openxmlformats.org/officeDocument/2006/relationships/hyperlink" Id="rId23"/>
    <Relationship TargetMode="External" Target="https://www.legis.iowa.gov/docs/iac/rule/481.720.14.pdf" Type="http://schemas.openxmlformats.org/officeDocument/2006/relationships/hyperlink" Id="rId24"/>
    <Relationship TargetMode="External" Target="https://www.legis.iowa.gov/docs/ico/chapter/17A.pdf" Type="http://schemas.openxmlformats.org/officeDocument/2006/relationships/hyperlink" Id="rId25"/>
    <Relationship TargetMode="External" Target="https://www.legis.iowa.gov/docs/ico/chapter/147.pdf" Type="http://schemas.openxmlformats.org/officeDocument/2006/relationships/hyperlink" Id="rId26"/>
    <Relationship TargetMode="External" Target="https://www.legis.iowa.gov/docs/ico/chapter/148G.pdf" Type="http://schemas.openxmlformats.org/officeDocument/2006/relationships/hyperlink" Id="rId27"/>
    <Relationship TargetMode="External" Target="https://www.legis.iowa.gov/docs/ico/chapter/152B.pdf" Type="http://schemas.openxmlformats.org/officeDocument/2006/relationships/hyperlink" Id="rId28"/>
    <Relationship TargetMode="External" Target="https://www.legis.iowa.gov/docs/ico/chapter/272C.pdf" Type="http://schemas.openxmlformats.org/officeDocument/2006/relationships/hyperlink" Id="rId29"/>
    <Relationship Target="footer.xml" Type="http://schemas.openxmlformats.org/officeDocument/2006/relationships/footer" Id="rId3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