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SUBACUTE MENTAL HEALTH CARE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481—71.1</w:t>
      </w:r>
      <w:r>
        <w:rPr>
          <w:rFonts w:ascii="Times New Roman" w:hAnsi="Times New Roman"/>
          <w:b/>
          <w:i w:val="false"/>
          <w:color w:val="000000"/>
          <w:sz w:val="22"/>
        </w:rPr>
        <w:t xml:space="preserve">(135G) </w:t>
      </w:r>
      <w:r>
        <w:rPr>
          <w:rFonts w:ascii="Times New Roman" w:hAnsi="Times New Roman"/>
          <w:b/>
          <w:i w:val="false"/>
          <w:color w:val="000000"/>
          <w:sz w:val="22"/>
        </w:rPr>
        <w:t xml:space="preserve">Purpose—subacute mental health services. </w:t>
      </w:r>
      <w:r>
        <w:rPr>
          <w:rFonts w:ascii="Times New Roman" w:hAnsi="Times New Roman"/>
          <w:b w:val="false"/>
          <w:i w:val="false"/>
          <w:color w:val="000000"/>
          <w:sz w:val="22"/>
        </w:rPr>
        <w:t>Subacute mental health services are intended to be short-term, intensive, recovery-oriented services designed to stabilize an individual who is experiencing a decreased level of functioning due to a mental health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w:t>
      </w:r>
      <w:r>
        <w:rPr>
          <w:rFonts w:ascii="Times New Roman" w:hAnsi="Times New Roman"/>
          <w:b/>
          <w:i w:val="false"/>
          <w:color w:val="000000"/>
          <w:sz w:val="22"/>
        </w:rPr>
        <w:t xml:space="preserve">(135G)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5">
        <w:r>
          <w:rPr>
            <w:rStyle w:val="Hyperlink"/>
            <w:rFonts w:ascii="Times New Roman" w:hAnsi="Times New Roman"/>
            <w:b w:val="false"/>
            <w:i w:val="false"/>
            <w:color w:val="000000"/>
            <w:sz w:val="22"/>
          </w:rPr>
          <w:t>135G.1</w:t>
        </w:r>
      </w:hyperlink>
      <w:r>
        <w:rPr>
          <w:rFonts w:ascii="Times New Roman" w:hAnsi="Times New Roman"/>
          <w:b w:val="false"/>
          <w:i w:val="false"/>
          <w:color w:val="000000"/>
          <w:sz w:val="22"/>
        </w:rPr>
        <w:t xml:space="preserve"> are adopted by reference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administers, manages, supervises, and is in general administrative charge of a subacute care facility, whether or not such individual has an ownership interest in the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evaluation of a person in psychiatric crisis in order to ascertain the person’s current and previous level of functioning, psychiatric and medical history, potential for dangerousness, current psychiatric and medical condition factors contributing to the crisis and support systems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an unusual occurrence within a facility or on its premises affecting residents, visitors, or employees whether or not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support”</w:t>
      </w:r>
      <w:r>
        <w:rPr>
          <w:rFonts w:ascii="Times New Roman" w:hAnsi="Times New Roman"/>
          <w:b w:val="false"/>
          <w:i w:val="false"/>
          <w:color w:val="000000"/>
          <w:sz w:val="22"/>
        </w:rPr>
        <w:t> </w:t>
      </w:r>
      <w:r>
        <w:rPr>
          <w:rFonts w:ascii="Times New Roman" w:hAnsi="Times New Roman"/>
          <w:b w:val="false"/>
          <w:i w:val="false"/>
          <w:color w:val="000000"/>
          <w:sz w:val="22"/>
        </w:rPr>
        <w:t>means services that are provided by individuals in recovery from serious mental illness and delivered to others who also have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care”</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care to patients in a psychiatric unit of an acute care hospital; a freestanding psychiatric hospital; or a mental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w:t>
      </w:r>
      <w:r>
        <w:rPr>
          <w:rFonts w:ascii="Times New Roman" w:hAnsi="Times New Roman"/>
          <w:b w:val="false"/>
          <w:i w:val="false"/>
          <w:color w:val="000000"/>
          <w:sz w:val="22"/>
        </w:rPr>
        <w:t> </w:t>
      </w:r>
      <w:r>
        <w:rPr>
          <w:rFonts w:ascii="Times New Roman" w:hAnsi="Times New Roman"/>
          <w:b w:val="false"/>
          <w:i w:val="false"/>
          <w:color w:val="000000"/>
          <w:sz w:val="22"/>
        </w:rPr>
        <w:t>means a process of change through which individuals improve their health and wellness, live a self-directed life, and strive to reach their full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 principles”</w:t>
      </w:r>
      <w:r>
        <w:rPr>
          <w:rFonts w:ascii="Times New Roman" w:hAnsi="Times New Roman"/>
          <w:b w:val="false"/>
          <w:i w:val="false"/>
          <w:color w:val="000000"/>
          <w:sz w:val="22"/>
        </w:rPr>
        <w:t> </w:t>
      </w:r>
      <w:r>
        <w:rPr>
          <w:rFonts w:ascii="Times New Roman" w:hAnsi="Times New Roman"/>
          <w:b w:val="false"/>
          <w:i w:val="false"/>
          <w:color w:val="000000"/>
          <w:sz w:val="22"/>
        </w:rPr>
        <w:t>means the ten guiding principles of recovery outlined by the federal Substance Abuse and Mental Health Services Administration (</w:t>
      </w:r>
      <w:hyperlink r:id="rId6">
        <w:r>
          <w:rPr>
            <w:rStyle w:val="Hyperlink"/>
            <w:rFonts w:ascii="Times New Roman" w:hAnsi="Times New Roman"/>
            <w:b w:val="false"/>
            <w:i w:val="false"/>
            <w:color w:val="000000"/>
            <w:sz w:val="22"/>
            <w:u w:val="single"/>
          </w:rPr>
          <w:t>www.samhsa.gov</w:t>
        </w:r>
      </w:hyperlink>
      <w:r>
        <w:rPr>
          <w:rFonts w:ascii="Times New Roman" w:hAnsi="Times New Roman"/>
          <w:b w:val="false"/>
          <w:i w:val="false"/>
          <w:color w:val="000000"/>
          <w:sz w:val="22"/>
        </w:rPr>
        <w:t>): hope, person-driven, many pathways, holistic, peer support, relational, culture, addresses trauma, strengths/responsibility,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admission agreement required in rule </w:t>
      </w:r>
      <w:hyperlink r:id="rId7">
        <w:r>
          <w:rPr>
            <w:rStyle w:val="Hyperlink"/>
            <w:rFonts w:ascii="Times New Roman" w:hAnsi="Times New Roman"/>
            <w:b w:val="false"/>
            <w:i w:val="false"/>
            <w:color w:val="000000"/>
            <w:sz w:val="22"/>
          </w:rPr>
          <w:t>481—71.13</w:t>
        </w:r>
      </w:hyperlink>
      <w:r>
        <w:rPr>
          <w:rFonts w:ascii="Times New Roman" w:hAnsi="Times New Roman"/>
          <w:b w:val="false"/>
          <w:i w:val="false"/>
          <w:color w:val="000000"/>
          <w:sz w:val="22"/>
        </w:rPr>
        <w:t>(135G)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physical force, use of a chemical agent, or a mechanical device for the purpose of restraining the free movement of an individual’s body to protect the individual or others from immediate harm. Restraint does not include briefly holding without undue force an individual to calm or comfort the individual or holding an individual’s hand to safely escort the individual from one area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means of egress”</w:t>
      </w:r>
      <w:r>
        <w:rPr>
          <w:rFonts w:ascii="Times New Roman" w:hAnsi="Times New Roman"/>
          <w:b w:val="false"/>
          <w:i w:val="false"/>
          <w:color w:val="000000"/>
          <w:sz w:val="22"/>
        </w:rPr>
        <w:t> </w:t>
      </w:r>
      <w:r>
        <w:rPr>
          <w:rFonts w:ascii="Times New Roman" w:hAnsi="Times New Roman"/>
          <w:b w:val="false"/>
          <w:i w:val="false"/>
          <w:color w:val="000000"/>
          <w:sz w:val="22"/>
        </w:rPr>
        <w:t>means an exit door alarm system for safety of the residents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“Seclusion”</w:t>
      </w:r>
      <w:r>
        <w:rPr>
          <w:rFonts w:ascii="Times New Roman" w:hAnsi="Times New Roman"/>
          <w:b w:val="false"/>
          <w:i w:val="false"/>
          <w:color w:val="000000"/>
          <w:sz w:val="22"/>
        </w:rPr>
        <w:t> </w:t>
      </w:r>
      <w:r>
        <w:rPr>
          <w:rFonts w:ascii="Times New Roman" w:hAnsi="Times New Roman"/>
          <w:b w:val="false"/>
          <w:i w:val="false"/>
          <w:color w:val="000000"/>
          <w:sz w:val="22"/>
        </w:rPr>
        <w:t>means the involuntary confinement of a resident alone in a room or an area from which the resident is physically prevented from leaving.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481—71.3</w:t>
      </w:r>
      <w:r>
        <w:rPr>
          <w:rFonts w:ascii="Times New Roman" w:hAnsi="Times New Roman"/>
          <w:b/>
          <w:i w:val="false"/>
          <w:color w:val="000000"/>
          <w:sz w:val="22"/>
        </w:rPr>
        <w:t xml:space="preserve">(135G)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and licensing. </w:t>
      </w:r>
      <w:r>
        <w:rPr>
          <w:rFonts w:ascii="Times New Roman" w:hAnsi="Times New Roman"/>
          <w:b w:val="false"/>
          <w:i w:val="false"/>
          <w:color w:val="000000"/>
          <w:sz w:val="22"/>
        </w:rPr>
        <w:t xml:space="preserve">In order to obtain an initial license for a subacute care facility, the applicant must meet all the requirements of the rules, regulations, and standards contained in Iowa Code chapter </w:t>
      </w:r>
      <w:hyperlink r:id="rId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and in this chapter and must make application at least 30 days prior to the proposed licensure date of the subacute care facility on forms provided by the department.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résumé of care with a narrative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target population and limitations on resident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the services the facility will provide, which shall minimally include specific and measurable goals and objectives for each of the services to be made available by the facility and a description of the resources needed to provide each of the services, including staff, physical facilities and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human services system available in the area including, but not limited to, social, public health, visiting nurse, vocational training, and employment services, residential living arrangements, and services of private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working relationships with human services agencies when applicable, which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how the facility will coordinate with human services agencies to facilitate continuity of care and coordination of services to residents;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how the facility will coordinate with human services agencies to identify unnecessary duplication of services and plan for development and coordination of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facility drawn on 8½- × 11-inch paper showing room areas in proportion, room dimensions, room numbers for all rooms, including bathrooms, the designation of the use to which each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subacute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Show evidence of a certificate signed by the state fire marshal or deputy state fire marshal, or the designee of either, certifying compliance with fire safety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Conversion from an intermediate care facility for persons with mental illness. </w:t>
      </w:r>
      <w:r>
        <w:rPr>
          <w:rFonts w:ascii="Times New Roman" w:hAnsi="Times New Roman"/>
          <w:b w:val="false"/>
          <w:i w:val="false"/>
          <w:color w:val="000000"/>
          <w:sz w:val="22"/>
        </w:rPr>
        <w:t xml:space="preserve">An intermediate care facility for persons with mental illness may be converted to a subacute care facility pursuant to Iowa Code section </w:t>
      </w:r>
      <w:hyperlink r:id="rId9">
        <w:r>
          <w:rPr>
            <w:rStyle w:val="Hyperlink"/>
            <w:rFonts w:ascii="Times New Roman" w:hAnsi="Times New Roman"/>
            <w:b w:val="false"/>
            <w:i w:val="false"/>
            <w:color w:val="000000"/>
            <w:sz w:val="22"/>
          </w:rPr>
          <w:t>135G.4(2)</w:t>
        </w:r>
      </w:hyperlink>
      <w:r>
        <w:rPr>
          <w:rFonts w:ascii="Times New Roman" w:hAnsi="Times New Roman"/>
          <w:b w:val="false"/>
          <w:i w:val="false"/>
          <w:color w:val="000000"/>
          <w:sz w:val="22"/>
        </w:rPr>
        <w:t xml:space="preserve"> if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written notice to the department that the facility has employed a full-time psychiatrist and desires to make the conversion;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Submits an application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or change of ownership. </w:t>
      </w:r>
      <w:r>
        <w:rPr>
          <w:rFonts w:ascii="Times New Roman" w:hAnsi="Times New Roman"/>
          <w:b w:val="false"/>
          <w:i w:val="false"/>
          <w:color w:val="000000"/>
          <w:sz w:val="22"/>
        </w:rPr>
        <w:t>In order to obtain a renewal or change of the subacute care facility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department the completed application form 30 days prior to the annual license renewal or change of ownership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 subacute care facility with the application for renewal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or the designee of either, certifying compliance with fire safety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of care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Issuance of license. </w:t>
      </w:r>
      <w:r>
        <w:rPr>
          <w:rFonts w:ascii="Times New Roman" w:hAnsi="Times New Roman"/>
          <w:b w:val="false"/>
          <w:i w:val="false"/>
          <w:color w:val="000000"/>
          <w:sz w:val="22"/>
        </w:rPr>
        <w:t>Licenses are issued to the person or governmental unit with responsibility for the operation of the facility and authority to comply with all applicable statutes, rules or regulations. The person or governmental unit must be the owner of the facility or, if the facility is leased,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Beds per facility. </w:t>
      </w:r>
      <w:r>
        <w:rPr>
          <w:rFonts w:ascii="Times New Roman" w:hAnsi="Times New Roman"/>
          <w:b w:val="false"/>
          <w:i w:val="false"/>
          <w:color w:val="000000"/>
          <w:sz w:val="22"/>
        </w:rPr>
        <w:t>A single facility shall not be licensed for more than 16 beds.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2068C</w:t>
      </w:r>
      <w:r>
        <w:rPr>
          <w:rFonts w:ascii="Times New Roman" w:hAnsi="Times New Roman"/>
          <w:b w:val="false"/>
          <w:i w:val="false"/>
          <w:color w:val="000000"/>
          <w:sz w:val="16"/>
        </w:rPr>
        <w:t>, IAB 7/22/15, effective 8/26/15</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481—71.4</w:t>
      </w:r>
      <w:r>
        <w:rPr>
          <w:rFonts w:ascii="Times New Roman" w:hAnsi="Times New Roman"/>
          <w:b/>
          <w:i w:val="false"/>
          <w:color w:val="000000"/>
          <w:sz w:val="22"/>
        </w:rPr>
        <w:t xml:space="preserve">(135G)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include specifically designated rooms within the facility, and provide separate categories of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 residents within that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distinct part must be operationally and financially feasible.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481—71.5</w:t>
      </w:r>
      <w:r>
        <w:rPr>
          <w:rFonts w:ascii="Times New Roman" w:hAnsi="Times New Roman"/>
          <w:b/>
          <w:i w:val="false"/>
          <w:color w:val="000000"/>
          <w:sz w:val="22"/>
        </w:rPr>
        <w:t xml:space="preserve">(135G)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from these rules may be granted by the director of the department if, in addition to the requirements of </w:t>
      </w:r>
      <w:hyperlink r:id="rId10">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need for a waiver has been established consistent with the résumé of care or the resident’s individual program plan;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danger to the health, safety, welfare, or rights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The waiver will apply only to a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Waivers shall be reviewed by the department at the time of each licensure survey to verify whether the facility is still eligible for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481—71.6</w:t>
      </w:r>
      <w:r>
        <w:rPr>
          <w:rFonts w:ascii="Times New Roman" w:hAnsi="Times New Roman"/>
          <w:b/>
          <w:i w:val="false"/>
          <w:color w:val="000000"/>
          <w:sz w:val="22"/>
        </w:rPr>
        <w:t xml:space="preserve">(135G) </w:t>
      </w:r>
      <w:r>
        <w:rPr>
          <w:rFonts w:ascii="Times New Roman" w:hAnsi="Times New Roman"/>
          <w:b/>
          <w:i w:val="false"/>
          <w:color w:val="000000"/>
          <w:sz w:val="22"/>
        </w:rPr>
        <w:t xml:space="preserve">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procedure. </w:t>
      </w:r>
      <w:r>
        <w:rPr>
          <w:rFonts w:ascii="Times New Roman" w:hAnsi="Times New Roman"/>
          <w:b w:val="false"/>
          <w:i w:val="false"/>
          <w:color w:val="000000"/>
          <w:sz w:val="22"/>
        </w:rPr>
        <w:t xml:space="preserve">The department may issue a provisional license to a subacute care facility pursuant to Iowa Code section </w:t>
      </w:r>
      <w:hyperlink r:id="rId11">
        <w:r>
          <w:rPr>
            <w:rStyle w:val="Hyperlink"/>
            <w:rFonts w:ascii="Times New Roman" w:hAnsi="Times New Roman"/>
            <w:b w:val="false"/>
            <w:i w:val="false"/>
            <w:color w:val="000000"/>
            <w:sz w:val="22"/>
          </w:rPr>
          <w:t>135G.8</w:t>
        </w:r>
      </w:hyperlink>
      <w:r>
        <w:rPr>
          <w:rFonts w:ascii="Times New Roman" w:hAnsi="Times New Roman"/>
          <w:b w:val="false"/>
          <w:i w:val="false"/>
          <w:color w:val="000000"/>
          <w:sz w:val="22"/>
        </w:rPr>
        <w:t>. The procedure for issuance of a provisional license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first issue to the facility a report which identifies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10 working days after receipt of the report, the facility shall provide the department with a written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written plan of correction within 10 working days of receipt. The department may request additional information or revision to the plan, which shall be provided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accepting the written plan of correction, the department shall then issue a provisional license to the facility, which shall not exceed one year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Written plan of correction. </w:t>
      </w:r>
      <w:r>
        <w:rPr>
          <w:rFonts w:ascii="Times New Roman" w:hAnsi="Times New Roman"/>
          <w:b w:val="false"/>
          <w:i w:val="false"/>
          <w:color w:val="000000"/>
          <w:sz w:val="22"/>
        </w:rPr>
        <w:t>The written plan of correction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facility will correct the deficient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the facility will act to protect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measures the facility will take or the systems it will alter to ensure that the deficient practice does not recur;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when the plan of correction will be completed, not to exceed 30 days from the date of the department’s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481—71.7</w:t>
      </w:r>
      <w:r>
        <w:rPr>
          <w:rFonts w:ascii="Times New Roman" w:hAnsi="Times New Roman"/>
          <w:b/>
          <w:i w:val="false"/>
          <w:color w:val="000000"/>
          <w:sz w:val="22"/>
        </w:rPr>
        <w:t xml:space="preserve">(135G)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viewed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for the premises and person named on the license and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posted license shall accurately reflect the current status of the subacute care facility’s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A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added than are stipulated on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481—71.8</w:t>
      </w:r>
      <w:r>
        <w:rPr>
          <w:rFonts w:ascii="Times New Roman" w:hAnsi="Times New Roman"/>
          <w:b/>
          <w:i w:val="false"/>
          <w:color w:val="000000"/>
          <w:sz w:val="22"/>
        </w:rPr>
        <w:t xml:space="preserve">(135G) </w:t>
      </w:r>
      <w:r>
        <w:rPr>
          <w:rFonts w:ascii="Times New Roman" w:hAnsi="Times New Roman"/>
          <w:b/>
          <w:i w:val="false"/>
          <w:color w:val="000000"/>
          <w:sz w:val="22"/>
        </w:rPr>
        <w:t xml:space="preserve">Required notifications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any proposed change in the subacute care facility’s functional operation or the addition or deletion of required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addition, alteration, or new construction is begun in the subacute care facility or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any closure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of the date on which any change in the category of license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Within 30 days of any proposed change in the résumé of care for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subacute care facility,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30 days before the sale, transfer, assignment, or lease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Within 24 hours, or the next business day, by the most expeditious means available, 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 any accident causing major injury. “Major injury” shall be defined as any injury which: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Requires admission to a higher level of care for treatment, other than for observation;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physician associate, or advanced registered nurse practitioner who determines, in writing, on a form designated by the department, that an injury is a “major injury” based upon the circumstances of the accident, the previous functional ability of the resident, and the resident’s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resident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damage to the facility is caused by a natural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facility and the fire requires the notification of emergency services, requires full or partial evacuation of the facility, or causes physical injury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system for more than 10 hours or fire alarm system for more than 4 hours in a 24-hour period. (This reporting requirement is in addition to the requirement to notify the state fire marshal or the state fire marshal’s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481—71.9</w:t>
      </w:r>
      <w:r>
        <w:rPr>
          <w:rFonts w:ascii="Times New Roman" w:hAnsi="Times New Roman"/>
          <w:b/>
          <w:i w:val="false"/>
          <w:color w:val="000000"/>
          <w:sz w:val="22"/>
        </w:rPr>
        <w:t xml:space="preserve">(135G) </w:t>
      </w:r>
      <w:r>
        <w:rPr>
          <w:rFonts w:ascii="Times New Roman" w:hAnsi="Times New Roman"/>
          <w:b/>
          <w:i w:val="false"/>
          <w:color w:val="000000"/>
          <w:sz w:val="22"/>
        </w:rPr>
        <w:t xml:space="preserve">Reports of dependent adult abuse. </w:t>
      </w:r>
      <w:r>
        <w:rPr>
          <w:rFonts w:ascii="Times New Roman" w:hAnsi="Times New Roman"/>
          <w:b w:val="false"/>
          <w:i w:val="false"/>
          <w:color w:val="000000"/>
          <w:sz w:val="22"/>
        </w:rPr>
        <w:t>Reports of suspected dependent adult abuse shall be made to the department of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481—71.10</w:t>
      </w:r>
      <w:r>
        <w:rPr>
          <w:rFonts w:ascii="Times New Roman" w:hAnsi="Times New Roman"/>
          <w:b/>
          <w:i w:val="false"/>
          <w:color w:val="000000"/>
          <w:sz w:val="22"/>
        </w:rPr>
        <w:t xml:space="preserve">(135G) </w:t>
      </w:r>
      <w:r>
        <w:rPr>
          <w:rFonts w:ascii="Times New Roman" w:hAnsi="Times New Roman"/>
          <w:b/>
          <w:i w:val="false"/>
          <w:color w:val="000000"/>
          <w:sz w:val="22"/>
        </w:rPr>
        <w:t xml:space="preserve">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71.10(1)</w:t>
      </w:r>
      <w:r>
        <w:rPr>
          <w:rFonts w:ascii="Times New Roman" w:hAnsi="Times New Roman"/>
          <w:b w:val="false"/>
          <w:i w:val="false"/>
          <w:color w:val="000000"/>
          <w:sz w:val="22"/>
        </w:rPr>
        <w:t> </w:t>
      </w:r>
      <w:r>
        <w:rPr>
          <w:rFonts w:ascii="Times New Roman" w:hAnsi="Times New Roman"/>
          <w:b w:val="false"/>
          <w:i/>
          <w:color w:val="000000"/>
          <w:sz w:val="22"/>
        </w:rPr>
        <w:t xml:space="preserve">Administrator required. </w:t>
      </w:r>
      <w:r>
        <w:rPr>
          <w:rFonts w:ascii="Times New Roman" w:hAnsi="Times New Roman"/>
          <w:b w:val="false"/>
          <w:i w:val="false"/>
          <w:color w:val="000000"/>
          <w:sz w:val="22"/>
        </w:rPr>
        <w:t>Each subacute care facility shall have one person in charge who is duly approved by the department or acting in a provisional capacity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r>
        <w:rPr>
          <w:rFonts w:ascii="Times New Roman" w:hAnsi="Times New Roman"/>
          <w:b w:val="false"/>
          <w:i w:val="false"/>
          <w:color w:val="000000"/>
          <w:sz w:val="22"/>
        </w:rPr>
        <w:t>The administrator shall be at least 21 years of age and shall have a high school diploma or equivalent. In addition, the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 mental health professional, as defined in Iowa Code section </w:t>
      </w:r>
      <w:hyperlink r:id="rId12">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 with at least one year of experience in an administrative capacity;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four-year degree in human services, psychology, sociology, nursing, health care administration, public administration, or a related field and have a minimum of one year of experience in the field;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71.10(3)</w:t>
      </w:r>
      <w:r>
        <w:rPr>
          <w:rFonts w:ascii="Times New Roman" w:hAnsi="Times New Roman"/>
          <w:b w:val="false"/>
          <w:i w:val="false"/>
          <w:color w:val="000000"/>
          <w:sz w:val="22"/>
        </w:rPr>
        <w:t> </w:t>
      </w:r>
      <w:r>
        <w:rPr>
          <w:rFonts w:ascii="Times New Roman" w:hAnsi="Times New Roman"/>
          <w:b w:val="false"/>
          <w:i/>
          <w:color w:val="000000"/>
          <w:sz w:val="22"/>
        </w:rPr>
        <w:t xml:space="preserve">Administrator—distinct part. </w:t>
      </w:r>
      <w:r>
        <w:rPr>
          <w:rFonts w:ascii="Times New Roman" w:hAnsi="Times New Roman"/>
          <w:b w:val="false"/>
          <w:i w:val="false"/>
          <w:color w:val="000000"/>
          <w:sz w:val="22"/>
        </w:rPr>
        <w:t>If a subacute care facility is a distinct part of a licensed health care facility, the administrator of the facility as a whole may serve as the administrator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subacute care facility licensee to assume the administrative responsibilities of the facility for a period not to exceed 12 months when the facility has, through no fault of its own, lost its administrator and has not been able to replace the administrator, provided the department has been notified and has approved the provisional administrator prior to the date of the administrator’s appointment. The provisional administrator must meet the requirements of subrule </w:t>
      </w:r>
      <w:hyperlink r:id="rId13">
        <w:r>
          <w:rPr>
            <w:rStyle w:val="Hyperlink"/>
            <w:rFonts w:ascii="Times New Roman" w:hAnsi="Times New Roman"/>
            <w:b w:val="false"/>
            <w:i w:val="false"/>
            <w:color w:val="000000"/>
            <w:sz w:val="22"/>
          </w:rPr>
          <w:t>71.10(2)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71.10(5)</w:t>
      </w:r>
      <w:r>
        <w:rPr>
          <w:rFonts w:ascii="Times New Roman" w:hAnsi="Times New Roman"/>
          <w:b w:val="false"/>
          <w:i w:val="false"/>
          <w:color w:val="000000"/>
          <w:sz w:val="22"/>
        </w:rPr>
        <w:t> </w:t>
      </w:r>
      <w:r>
        <w:rPr>
          <w:rFonts w:ascii="Times New Roman" w:hAnsi="Times New Roman"/>
          <w:b w:val="false"/>
          <w:i/>
          <w:color w:val="000000"/>
          <w:sz w:val="22"/>
        </w:rPr>
        <w:t xml:space="preserve">Administrator—initial licensing of facility. </w:t>
      </w:r>
      <w:r>
        <w:rPr>
          <w:rFonts w:ascii="Times New Roman" w:hAnsi="Times New Roman"/>
          <w:b w:val="false"/>
          <w:i w:val="false"/>
          <w:color w:val="000000"/>
          <w:sz w:val="22"/>
        </w:rPr>
        <w:t>A facility applying for an initial license shall not have a provisional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71.10(6)</w:t>
      </w:r>
      <w:r>
        <w:rPr>
          <w:rFonts w:ascii="Times New Roman" w:hAnsi="Times New Roman"/>
          <w:b w:val="false"/>
          <w:i w:val="false"/>
          <w:color w:val="000000"/>
          <w:sz w:val="22"/>
        </w:rPr>
        <w:t> </w:t>
      </w:r>
      <w:r>
        <w:rPr>
          <w:rFonts w:ascii="Times New Roman" w:hAnsi="Times New Roman"/>
          <w:b w:val="false"/>
          <w:i/>
          <w:color w:val="000000"/>
          <w:sz w:val="22"/>
        </w:rPr>
        <w:t xml:space="preserve">Duties of administrator. </w:t>
      </w:r>
      <w:r>
        <w:rPr>
          <w:rFonts w:ascii="Times New Roman" w:hAnsi="Times New Roman"/>
          <w:b w:val="false"/>
          <w:i w:val="false"/>
          <w:color w:val="000000"/>
          <w:sz w:val="22"/>
        </w:rPr>
        <w:t>An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implementation of procedures to support the policies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 policies and procedures manual available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a monthly in-service educational program for all employees and maintain records of programs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staff payroll records available for departmental review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Furnish to the department within 30 days of the department’s request statistical information concerning the operation of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481—71.11</w:t>
      </w:r>
      <w:r>
        <w:rPr>
          <w:rFonts w:ascii="Times New Roman" w:hAnsi="Times New Roman"/>
          <w:b/>
          <w:i w:val="false"/>
          <w:color w:val="000000"/>
          <w:sz w:val="22"/>
        </w:rPr>
        <w:t xml:space="preserve">(135G)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which shall be available for review, for the operation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71.11(2)</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and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Crisis intervention, including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Involuntary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481—71.12</w:t>
      </w:r>
      <w:r>
        <w:rPr>
          <w:rFonts w:ascii="Times New Roman" w:hAnsi="Times New Roman"/>
          <w:b/>
          <w:i w:val="false"/>
          <w:color w:val="000000"/>
          <w:sz w:val="22"/>
        </w:rPr>
        <w:t xml:space="preserve">(135G)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w:t>
      </w:r>
      <w:r>
        <w:rPr>
          <w:rFonts w:ascii="Times New Roman" w:hAnsi="Times New Roman"/>
          <w:b w:val="false"/>
          <w:i w:val="false"/>
          <w:color w:val="000000"/>
          <w:sz w:val="22"/>
        </w:rPr>
        <w:t> </w:t>
      </w:r>
      <w:r>
        <w:rPr>
          <w:rFonts w:ascii="Times New Roman" w:hAnsi="Times New Roman"/>
          <w:b w:val="false"/>
          <w:i w:val="false"/>
          <w:color w:val="000000"/>
          <w:sz w:val="22"/>
        </w:rPr>
        <w:t>Staffing requirements. Availability of personnel must be sufficient to meet psychiatric and medical treatment needs of the residents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71.12(2)</w:t>
      </w:r>
      <w:r>
        <w:rPr>
          <w:rFonts w:ascii="Times New Roman" w:hAnsi="Times New Roman"/>
          <w:b w:val="false"/>
          <w:i w:val="false"/>
          <w:color w:val="000000"/>
          <w:sz w:val="22"/>
        </w:rPr>
        <w:t> </w:t>
      </w:r>
      <w:r>
        <w:rPr>
          <w:rFonts w:ascii="Times New Roman" w:hAnsi="Times New Roman"/>
          <w:b w:val="false"/>
          <w:i w:val="false"/>
          <w:color w:val="000000"/>
          <w:sz w:val="22"/>
        </w:rPr>
        <w:t>Staffing shall include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Twenty-four-hour-per-day, seven-day-per-week availability of on-call psychiatrist or advanced registered nurse practitioner with at least one year of experience in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Twenty-four-hour-per-day, seven-day-per-week availability of on-call registered nurse with at least two years of experience in psychiatric care or a registered nurse with a bachelor of science in nursing (BSN) and at least one year of experience in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mental health professional as defined in Iowa Code section </w:t>
      </w:r>
      <w:hyperlink r:id="rId14">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care staff with at least one year of experience in a mental health care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service staff at the bachelor level with at least one year of experience in a mental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71.12(3)</w:t>
      </w:r>
      <w:r>
        <w:rPr>
          <w:rFonts w:ascii="Times New Roman" w:hAnsi="Times New Roman"/>
          <w:b w:val="false"/>
          <w:i w:val="false"/>
          <w:color w:val="000000"/>
          <w:sz w:val="22"/>
        </w:rPr>
        <w:t> </w:t>
      </w:r>
      <w:r>
        <w:rPr>
          <w:rFonts w:ascii="Times New Roman" w:hAnsi="Times New Roman"/>
          <w:b w:val="false"/>
          <w:i w:val="false"/>
          <w:color w:val="000000"/>
          <w:sz w:val="22"/>
        </w:rPr>
        <w:t>Personnel policies and procedures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job descriptions for all employees or agreements for all consultants, which include duties and responsibilities, education, experience, or other requirements, and supervisory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evaluations of all employees and consultants which are dated and signed by the employee or consultant and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which are current, accurate, complete, and confidential to the extent allowed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 shall contain documentation of how the employee’s or consultant’s education and experience are relevant to the position for which the employee or consultant was hired.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 shall contain documentation of criminal history, child abuse and dependent adult abuse record checks, which shall be conducted prior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Roles, responsibilities, and limitations of student interns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orientation program for all newly hired employees and consultants that includes an introduction to the facility’s personnel policies and procedures and a discussion of the facility’s safety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Equal opportunity and affirmative action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disciplining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Appropriate dress and personal hygiene for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overview of recovery principles, person-centered planning and residents’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require regular health examinations for all personnel. Employees shall have a health examination within 12 months prior to beginning employment and regular examinations thereafter at least every four years. The examination shall include, at a minimum, the health status of the employee, including screening and testing for tuberculosis as described in </w:t>
      </w:r>
      <w:hyperlink r:id="rId15">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be allowed to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in case of sudden illness or accident. These policies shall include the administrative individuals to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71.12(5)</w:t>
      </w:r>
      <w:r>
        <w:rPr>
          <w:rFonts w:ascii="Times New Roman" w:hAnsi="Times New Roman"/>
          <w:b w:val="false"/>
          <w:i w:val="false"/>
          <w:color w:val="000000"/>
          <w:sz w:val="22"/>
        </w:rPr>
        <w:t> </w:t>
      </w:r>
      <w:r>
        <w:rPr>
          <w:rFonts w:ascii="Times New Roman" w:hAnsi="Times New Roman"/>
          <w:b w:val="false"/>
          <w:i w:val="false"/>
          <w:color w:val="000000"/>
          <w:sz w:val="22"/>
        </w:rPr>
        <w:t>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personnel record shall be kept for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Position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of experience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Criminal history, child abuse and dependent adult abuse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Staff training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Documentation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Date and reason for discharge or resignation,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Current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71.12(6)</w:t>
      </w:r>
      <w:r>
        <w:rPr>
          <w:rFonts w:ascii="Times New Roman" w:hAnsi="Times New Roman"/>
          <w:b w:val="false"/>
          <w:i w:val="false"/>
          <w:color w:val="000000"/>
          <w:sz w:val="22"/>
        </w:rPr>
        <w:t> </w:t>
      </w:r>
      <w:r>
        <w:rPr>
          <w:rFonts w:ascii="Times New Roman" w:hAnsi="Times New Roman"/>
          <w:b w:val="false"/>
          <w:i w:val="false"/>
          <w:color w:val="000000"/>
          <w:sz w:val="22"/>
        </w:rPr>
        <w:t>Orders for medications and treatments shall be correctly implemented by qualified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481—71.13</w:t>
      </w:r>
      <w:r>
        <w:rPr>
          <w:rFonts w:ascii="Times New Roman" w:hAnsi="Times New Roman"/>
          <w:b/>
          <w:i w:val="false"/>
          <w:color w:val="000000"/>
          <w:sz w:val="22"/>
        </w:rPr>
        <w:t xml:space="preserve">(135G)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or retain a resident who is in need of greater services than the facility can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admission of an applicant, the facility shall obtain sufficient information to determine if its program is appropriate and adequate to meet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admit only as many residents as indicated by the number of beds for which the facility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subacute care facility shall adopt policies regarding the admission requirements outlined in subrule </w:t>
      </w:r>
      <w:hyperlink r:id="rId16">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individualized subacute mental health services will be determined by the standardized preadmission screening utilized by the facility. The screening shall be conducted by a mental health professional as defined in Iowa Code section </w:t>
      </w:r>
      <w:hyperlink r:id="rId17">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 a physician, a physician associate, or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be admitted, the individual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past year, have had a diagnosable mental, behavioral or emotional disorder that meets the diagnostic criteria specified in the most current edition of the Diagnostic and Statistical Manual of Mental Disorders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a high degree of impairment through significantly impaired mental, social, or educational functioning arising from the psychiatric condition or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an impairment that severely limits the skills necessary to maintain an adequate level of functioning outside a treatment program and requires active treatment to obtain an adequate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a low level of stability through any two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presents moderate to high risk of danger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lacks adequate skills or social support to address mental health symptoms.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 is medically stable but requires observation and care for stabilization of a mental health condition or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color w:val="000000"/>
          <w:sz w:val="22"/>
        </w:rPr>
        <w:t xml:space="preserve">Admission agreement. </w:t>
      </w:r>
      <w:r>
        <w:rPr>
          <w:rFonts w:ascii="Times New Roman" w:hAnsi="Times New Roman"/>
          <w:b w:val="false"/>
          <w:i w:val="false"/>
          <w:color w:val="000000"/>
          <w:sz w:val="22"/>
        </w:rPr>
        <w:t>A subacute care facility shall provide an admission agreement to each resident upon admission to the facility. Each admission agreement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 of services and any additional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facility’s policies regarding length of stay, discharge and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71.13(4)</w:t>
      </w:r>
      <w:r>
        <w:rPr>
          <w:rFonts w:ascii="Times New Roman" w:hAnsi="Times New Roman"/>
          <w:b w:val="false"/>
          <w:i w:val="false"/>
          <w:color w:val="000000"/>
          <w:sz w:val="22"/>
        </w:rPr>
        <w:t> </w:t>
      </w:r>
      <w:r>
        <w:rPr>
          <w:rFonts w:ascii="Times New Roman" w:hAnsi="Times New Roman"/>
          <w:b w:val="false"/>
          <w:i/>
          <w:color w:val="000000"/>
          <w:sz w:val="22"/>
        </w:rPr>
        <w:t xml:space="preserve">Exclusion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an individual into the facility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manifests behavioral or psychiatric symptoms that require acute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can be safely maintained and effectively treated with less intensive services in a community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symptoms of the individual do not meet admission criteria in subrule </w:t>
      </w:r>
      <w:hyperlink r:id="rId18">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individual’s lack of adequate place of residence, placement, or housing is not reason to receive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71.13(5)</w:t>
      </w:r>
      <w:r>
        <w:rPr>
          <w:rFonts w:ascii="Times New Roman" w:hAnsi="Times New Roman"/>
          <w:b w:val="false"/>
          <w:i w:val="false"/>
          <w:color w:val="000000"/>
          <w:sz w:val="22"/>
        </w:rPr>
        <w:t> </w:t>
      </w:r>
      <w:r>
        <w:rPr>
          <w:rFonts w:ascii="Times New Roman" w:hAnsi="Times New Roman"/>
          <w:b w:val="false"/>
          <w:i/>
          <w:color w:val="000000"/>
          <w:sz w:val="22"/>
        </w:rPr>
        <w:t xml:space="preserve">Continued stay criteria policies. </w:t>
      </w:r>
      <w:r>
        <w:rPr>
          <w:rFonts w:ascii="Times New Roman" w:hAnsi="Times New Roman"/>
          <w:b w:val="false"/>
          <w:i w:val="false"/>
          <w:color w:val="000000"/>
          <w:sz w:val="22"/>
        </w:rPr>
        <w:t>By the tenth day following admission and every ten calendar days thereafter, the mental health professional shall conduct and document an assessment of the resident and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severity of the behavioral and emotional symptoms continues to require the subacute level of intervention and the DSM diagnosis remains the principal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prescribed interventions remain consistent with the intended treatment plan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documented evidence of active, individualized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reasonable likelihood of substantial benefit in the resident’s mental health condition as a result of active intervention of the 24-hour supervised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Symptoms and behaviors that required admission are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less intensive level of care would be insufficient to stabilize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New issues that meet the admission guidelines in subrule </w:t>
      </w:r>
      <w:hyperlink r:id="rId19">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 xml:space="preserve"> have appeared.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resident requires further stabilization subsequent to acute care to treat active mental health symptoms such as psychosis, depression or mood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71.13(6)</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policies. </w:t>
      </w:r>
      <w:r>
        <w:rPr>
          <w:rFonts w:ascii="Times New Roman" w:hAnsi="Times New Roman"/>
          <w:b w:val="false"/>
          <w:i w:val="false"/>
          <w:color w:val="000000"/>
          <w:sz w:val="22"/>
        </w:rPr>
        <w:t>A resident may be discharged from subacute level of care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treatment plan goals and objectives for subacute services have been met and a discharge plan to outpatient or other community-based services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physical condition necessitates transfer to a more intensive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resident is not making progress toward treatment goals and there is no reasonable expectation of progress at the subacute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becomes a danger to self, others, or facility structure and requires an emergency transfer to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 repeatedly refuses to participate in the resident’s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71.13(7)</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give prior notification to the resident, as well as the resident’s next of kin, legal representative, attending physician or advanced registered nurse practitioner, and sponsoring agency, if any, prior to transfer or discharge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subacute care facility shall make proper arrangements for the welfare of the resident prior to transfer or discharge in the event of an emergency or inability to reach the next of kin or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make advance notification to the receiving facility prior to the transfer of any resident if the resident is to be transferred to another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made no less than 24 hours prior to transfer unless paragraph </w:t>
      </w:r>
      <w:hyperlink r:id="rId20">
        <w:r>
          <w:rPr>
            <w:rStyle w:val="Hyperlink"/>
            <w:rFonts w:ascii="Times New Roman" w:hAnsi="Times New Roman"/>
            <w:b w:val="false"/>
            <w:i w:val="false"/>
            <w:color w:val="000000"/>
            <w:sz w:val="22"/>
          </w:rPr>
          <w:t>71.13(6)</w:t>
        </w:r>
      </w:hyperlink>
      <w:r>
        <w:rPr>
          <w:rFonts w:ascii="Times New Roman" w:hAnsi="Times New Roman"/>
          <w:b w:val="false"/>
          <w:i/>
          <w:color w:val="000000"/>
          <w:sz w:val="22"/>
        </w:rPr>
        <w:t>“d”</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record as set forth in subrule </w:t>
      </w:r>
      <w:hyperlink r:id="rId21">
        <w:r>
          <w:rPr>
            <w:rStyle w:val="Hyperlink"/>
            <w:rFonts w:ascii="Times New Roman" w:hAnsi="Times New Roman"/>
            <w:b w:val="false"/>
            <w:i w:val="false"/>
            <w:color w:val="000000"/>
            <w:sz w:val="22"/>
          </w:rPr>
          <w:t>71.20(1)</w:t>
        </w:r>
      </w:hyperlink>
      <w:r>
        <w:rPr>
          <w:rFonts w:ascii="Times New Roman" w:hAnsi="Times New Roman"/>
          <w:b w:val="false"/>
          <w:i w:val="false"/>
          <w:color w:val="000000"/>
          <w:sz w:val="22"/>
        </w:rPr>
        <w:t xml:space="preserve"> shall accompany the resident when the resident is transferred or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2068C</w:t>
      </w:r>
      <w:r>
        <w:rPr>
          <w:rFonts w:ascii="Times New Roman" w:hAnsi="Times New Roman"/>
          <w:b w:val="false"/>
          <w:i w:val="false"/>
          <w:color w:val="000000"/>
          <w:sz w:val="16"/>
        </w:rPr>
        <w:t>, IAB 7/22/15, effective 8/26/15</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481—71.14</w:t>
      </w:r>
      <w:r>
        <w:rPr>
          <w:rFonts w:ascii="Times New Roman" w:hAnsi="Times New Roman"/>
          <w:b/>
          <w:i w:val="false"/>
          <w:color w:val="000000"/>
          <w:sz w:val="22"/>
        </w:rPr>
        <w:t xml:space="preserve">(135G) </w:t>
      </w:r>
      <w:r>
        <w:rPr>
          <w:rFonts w:ascii="Times New Roman" w:hAnsi="Times New Roman"/>
          <w:b/>
          <w:i w:val="false"/>
          <w:color w:val="000000"/>
          <w:sz w:val="22"/>
        </w:rPr>
        <w:t xml:space="preserve">Treatment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71.14(1)</w:t>
      </w:r>
      <w:r>
        <w:rPr>
          <w:rFonts w:ascii="Times New Roman" w:hAnsi="Times New Roman"/>
          <w:b w:val="false"/>
          <w:i w:val="false"/>
          <w:color w:val="000000"/>
          <w:sz w:val="22"/>
        </w:rPr>
        <w:t> </w:t>
      </w:r>
      <w:r>
        <w:rPr>
          <w:rFonts w:ascii="Times New Roman" w:hAnsi="Times New Roman"/>
          <w:b w:val="false"/>
          <w:i w:val="false"/>
          <w:color w:val="000000"/>
          <w:sz w:val="22"/>
        </w:rPr>
        <w:t>A treatment plan must be developed with each resident. The plan must be based on initial and ongoing assessment of need, be designed to resolve the acute or crisis mental health symptoms or the imminent risk of acute or crisis mental health symptoms, and be completed within six hours of admission, or no later than 12 noon following admission if the resident is admitted between 8 p.m. and 6 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must be documented in the resident’s record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the plan is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Standardized diagnostic formulations, including but not limited to the current Diagnostic and Statistical Manual (DSM) or the current International Statistical Classification of Diseases and Related Health Problems (ICD).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Problems and strengths of the resident that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Observable and measurable individual objectives that relate to the specific problems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Interventions that address specific objectives, identification of staff responsible for interventions, and planned frequency of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Signatures of mental health professionals responsible for developing the plan, including the qualified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Signatures of the resident and any parent, guardian, conservator, or legal custodian. Reasons for refusal to sign or inability to participate in treatment plan development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projected discharge date and anticipated postdischarge needs, including documentation of resources needed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Review of the treatment plan by the appropriate treatment staff at least daily and upon completion of the stated goals or objectives and documentation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Progress toward each treatment objective, with revisions as indicated;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discharge plans, including availability of resources needed by the resident in the community, with revisions as indicated.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481—71.15</w:t>
      </w:r>
      <w:r>
        <w:rPr>
          <w:rFonts w:ascii="Times New Roman" w:hAnsi="Times New Roman"/>
          <w:b/>
          <w:i w:val="false"/>
          <w:color w:val="000000"/>
          <w:sz w:val="22"/>
        </w:rPr>
        <w:t xml:space="preserve">(135G) </w:t>
      </w:r>
      <w:r>
        <w:rPr>
          <w:rFonts w:ascii="Times New Roman" w:hAnsi="Times New Roman"/>
          <w:b/>
          <w:i w:val="false"/>
          <w:color w:val="000000"/>
          <w:sz w:val="22"/>
        </w:rPr>
        <w:t xml:space="preserve">Crisis 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concerning crisis intervention. These policies and procedures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Directed to maximizing the growth and development of the individual by incorporating a hierarchy of available alternative methods that emphasize positive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Available in each program area and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Available to individuals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Developed with the participation, as appropriate, of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71.15(2)</w:t>
      </w:r>
      <w:r>
        <w:rPr>
          <w:rFonts w:ascii="Times New Roman" w:hAnsi="Times New Roman"/>
          <w:b w:val="false"/>
          <w:i w:val="false"/>
          <w:color w:val="000000"/>
          <w:sz w:val="22"/>
        </w:rPr>
        <w:t> </w:t>
      </w:r>
      <w:r>
        <w:rPr>
          <w:rFonts w:ascii="Times New Roman" w:hAnsi="Times New Roman"/>
          <w:b w:val="false"/>
          <w:i w:val="false"/>
          <w:color w:val="000000"/>
          <w:sz w:val="22"/>
        </w:rPr>
        <w:t>An emergency safety intervention must be performed in a manner that is safe, proportionate, and appropriate to the severity of the behavior and to the individual’s chronological and developmental age, size, gender, physical, medical, and psychiatric condition and personal history, including any history of physical or sexual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481—71.16</w:t>
      </w:r>
      <w:r>
        <w:rPr>
          <w:rFonts w:ascii="Times New Roman" w:hAnsi="Times New Roman"/>
          <w:b/>
          <w:i w:val="false"/>
          <w:color w:val="000000"/>
          <w:sz w:val="22"/>
        </w:rPr>
        <w:t xml:space="preserve">(135G) </w:t>
      </w:r>
      <w:r>
        <w:rPr>
          <w:rFonts w:ascii="Times New Roman" w:hAnsi="Times New Roman"/>
          <w:b/>
          <w:i w:val="false"/>
          <w:color w:val="000000"/>
          <w:sz w:val="22"/>
        </w:rPr>
        <w:t xml:space="preserve">Seclusion and restraint.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71.16(1)</w:t>
      </w:r>
      <w:r>
        <w:rPr>
          <w:rFonts w:ascii="Times New Roman" w:hAnsi="Times New Roman"/>
          <w:b w:val="false"/>
          <w:i w:val="false"/>
          <w:color w:val="000000"/>
          <w:sz w:val="22"/>
        </w:rPr>
        <w:t> </w:t>
      </w:r>
      <w:r>
        <w:rPr>
          <w:rFonts w:ascii="Times New Roman" w:hAnsi="Times New Roman"/>
          <w:b w:val="false"/>
          <w:i/>
          <w:color w:val="000000"/>
          <w:sz w:val="22"/>
        </w:rPr>
        <w:t xml:space="preserve">Use of a seclusion room.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135G.3(2)</w:t>
        </w:r>
      </w:hyperlink>
      <w:r>
        <w:rPr>
          <w:rFonts w:ascii="Times New Roman" w:hAnsi="Times New Roman"/>
          <w:b w:val="false"/>
          <w:i w:val="false"/>
          <w:color w:val="000000"/>
          <w:sz w:val="22"/>
        </w:rPr>
        <w:t xml:space="preserve">, a seclusion room used by a subacute care facility must meet the conditions of 42 CFR § 483.364(b).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utilizing a seclusion room shall have written policies regarding its use.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Delineate the licensed personnel who may authorize use of the 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documentation of the time in the seclusion room, the reasons for use of the seclusion room, and the reasons for any extension of time beyond one hour. Under no circumstances shall the use of the seclusion room exceed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notice to residents of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in hearing distance of the seclusion room, and the resident shall be visually checked by the staff at least every 15 minutes. Every check shall be documented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seclusion room shall not be used for punishment, for the convenience of staff, or as a substitution for supervision. A seclusion room shall only be used when a less restrictive alternative has failed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emergency to prevent injury to the resident or to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71.16(2)</w:t>
      </w:r>
      <w:r>
        <w:rPr>
          <w:rFonts w:ascii="Times New Roman" w:hAnsi="Times New Roman"/>
          <w:b w:val="false"/>
          <w:i w:val="false"/>
          <w:color w:val="000000"/>
          <w:sz w:val="22"/>
        </w:rPr>
        <w:t> </w:t>
      </w:r>
      <w:r>
        <w:rPr>
          <w:rFonts w:ascii="Times New Roman" w:hAnsi="Times New Roman"/>
          <w:b w:val="false"/>
          <w:i/>
          <w:color w:val="000000"/>
          <w:sz w:val="22"/>
        </w:rPr>
        <w:t xml:space="preserve">Use of restraints. </w:t>
      </w:r>
      <w:r>
        <w:rPr>
          <w:rFonts w:ascii="Times New Roman" w:hAnsi="Times New Roman"/>
          <w:b w:val="false"/>
          <w:i w:val="false"/>
          <w:color w:val="000000"/>
          <w:sz w:val="22"/>
        </w:rPr>
        <w:t>There shall be written policies that define the use of restraint, designate the staff member who may authorize its use, and establish a mechanism for monitoring and controlling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Restraint shall not be used for punishment, for the convenience of staff, or as a substitution for supervision. Restraint shall only be used:</w:t>
      </w:r>
    </w:p>
    <w:p>
      <w:pPr>
        <w:spacing w:before="0" w:after="0"/>
        <w:ind w:left="120"/>
        <w:jc w:val="both"/>
      </w:pPr>
      <w:r>
        <w:rPr>
          <w:rFonts w:ascii="Times New Roman" w:hAnsi="Times New Roman"/>
          <w:b w:val="false"/>
          <w:i w:val="false"/>
          <w:color w:val="000000"/>
          <w:sz w:val="22"/>
        </w:rPr>
        <w:t>(1) In an emergency to prevent injury to the resident or to others; or</w:t>
      </w:r>
    </w:p>
    <w:p>
      <w:pPr>
        <w:spacing w:before="0" w:after="0"/>
        <w:ind w:left="120"/>
        <w:jc w:val="both"/>
      </w:pPr>
      <w:r>
        <w:rPr>
          <w:rFonts w:ascii="Times New Roman" w:hAnsi="Times New Roman"/>
          <w:b w:val="false"/>
          <w:i w:val="false"/>
          <w:color w:val="000000"/>
          <w:sz w:val="22"/>
        </w:rPr>
        <w:t>(2) 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Restraint must not result in harm or injury to the resident and must be used only to ensure the safety of the resident or others during an emergency situation until the emergency situation has ceased, even if the restraint order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restraint should be selected only when other less restrictive measures have been found to be ineffective to protect the resident or others. The staff shall demonstrate effective treatment approaches and alternatives to the use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trained in the use of emergency safety interventions must be physically present and continually assessing and monitoring the well-being of the resident and the safe use of restraint throughout the duration of the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71.16(3)</w:t>
      </w:r>
      <w:r>
        <w:rPr>
          <w:rFonts w:ascii="Times New Roman" w:hAnsi="Times New Roman"/>
          <w:b w:val="false"/>
          <w:i w:val="false"/>
          <w:color w:val="000000"/>
          <w:sz w:val="22"/>
        </w:rPr>
        <w:t> </w:t>
      </w:r>
      <w:r>
        <w:rPr>
          <w:rFonts w:ascii="Times New Roman" w:hAnsi="Times New Roman"/>
          <w:b w:val="false"/>
          <w:i/>
          <w:color w:val="000000"/>
          <w:sz w:val="22"/>
        </w:rPr>
        <w:t xml:space="preserve">Orders for restraint or seclusion. </w:t>
      </w:r>
      <w:r>
        <w:rPr>
          <w:rFonts w:ascii="Times New Roman" w:hAnsi="Times New Roman"/>
          <w:b w:val="false"/>
          <w:i w:val="false"/>
          <w:color w:val="000000"/>
          <w:sz w:val="22"/>
        </w:rPr>
        <w:t>An order for restraint or seclusion shall not be written as a standing order or on an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order for restraint or seclusion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ordering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the order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intervention ordered, including the length of time for which restraint or seclusion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for restraint or seclusion must be by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 orders must be received while the emergency safety intervention is being initiated by staff or immediately after the emergency safety situation ends and must be verified in writing in the resident’s record by the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one-time order for the specific resident in an emergency safety situation has expired, it may not be renewed on a planned, anticipated, or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71.16(4)</w:t>
      </w:r>
      <w:r>
        <w:rPr>
          <w:rFonts w:ascii="Times New Roman" w:hAnsi="Times New Roman"/>
          <w:b w:val="false"/>
          <w:i w:val="false"/>
          <w:color w:val="000000"/>
          <w:sz w:val="22"/>
        </w:rPr>
        <w:t> </w:t>
      </w:r>
      <w:r>
        <w:rPr>
          <w:rFonts w:ascii="Times New Roman" w:hAnsi="Times New Roman"/>
          <w:b w:val="false"/>
          <w:i/>
          <w:color w:val="000000"/>
          <w:sz w:val="22"/>
        </w:rPr>
        <w:t xml:space="preserve">Simultaneous use prohibited. </w:t>
      </w:r>
      <w:r>
        <w:rPr>
          <w:rFonts w:ascii="Times New Roman" w:hAnsi="Times New Roman"/>
          <w:b w:val="false"/>
          <w:i w:val="false"/>
          <w:color w:val="000000"/>
          <w:sz w:val="22"/>
        </w:rPr>
        <w:t>Restraint and seclusion shall not be used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use of restraint or seclusion. </w:t>
      </w:r>
      <w:r>
        <w:rPr>
          <w:rFonts w:ascii="Times New Roman" w:hAnsi="Times New Roman"/>
          <w:b w:val="false"/>
          <w:i w:val="false"/>
          <w:color w:val="000000"/>
          <w:sz w:val="22"/>
        </w:rPr>
        <w:t>Staff must document in the resident’s record and in a centralized tracking system any use of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must be completed by the end of the shift in which the intervention occurs or during the shift in which it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order for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emergency safety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situation that required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staff involved in the emergency safety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interventions used and their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71.16(6)</w:t>
      </w:r>
      <w:r>
        <w:rPr>
          <w:rFonts w:ascii="Times New Roman" w:hAnsi="Times New Roman"/>
          <w:b w:val="false"/>
          <w:i w:val="false"/>
          <w:color w:val="000000"/>
          <w:sz w:val="22"/>
        </w:rPr>
        <w:t> </w:t>
      </w:r>
      <w:r>
        <w:rPr>
          <w:rFonts w:ascii="Times New Roman" w:hAnsi="Times New Roman"/>
          <w:b w:val="false"/>
          <w:i/>
          <w:color w:val="000000"/>
          <w:sz w:val="22"/>
        </w:rPr>
        <w:t xml:space="preserve">Meeting to process restraint or seclusion. </w:t>
      </w:r>
      <w:r>
        <w:rPr>
          <w:rFonts w:ascii="Times New Roman" w:hAnsi="Times New Roman"/>
          <w:b w:val="false"/>
          <w:i w:val="false"/>
          <w:color w:val="000000"/>
          <w:sz w:val="22"/>
        </w:rPr>
        <w:t>As soon as reasonably possible after the restraint or seclusion of a resident has terminated, staff must meet to process the restraint or seclusion occurrence and document in writing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71.16(7)</w:t>
      </w:r>
      <w:r>
        <w:rPr>
          <w:rFonts w:ascii="Times New Roman" w:hAnsi="Times New Roman"/>
          <w:b w:val="false"/>
          <w:i w:val="false"/>
          <w:color w:val="000000"/>
          <w:sz w:val="22"/>
        </w:rPr>
        <w:t> </w:t>
      </w:r>
      <w:r>
        <w:rPr>
          <w:rFonts w:ascii="Times New Roman" w:hAnsi="Times New Roman"/>
          <w:b w:val="false"/>
          <w:i/>
          <w:color w:val="000000"/>
          <w:sz w:val="22"/>
        </w:rPr>
        <w:t xml:space="preserve">Multiple occasions of restraint or seclusion. </w:t>
      </w:r>
      <w:r>
        <w:rPr>
          <w:rFonts w:ascii="Times New Roman" w:hAnsi="Times New Roman"/>
          <w:b w:val="false"/>
          <w:i w:val="false"/>
          <w:color w:val="000000"/>
          <w:sz w:val="22"/>
        </w:rPr>
        <w:t>A resident who requires restraint or seclusion on multiple occasions should be considered for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71.16(8)</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facility shall provide to the staff training by qualified professionals on physical restraint and seclusion theory and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the training, including attendance,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who have documented training in physical restraint and seclusion theory and techniques shall be authorized to assist with the seclusion or physical restraint of a resident.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481—71.17</w:t>
      </w:r>
      <w:r>
        <w:rPr>
          <w:rFonts w:ascii="Times New Roman" w:hAnsi="Times New Roman"/>
          <w:b/>
          <w:i w:val="false"/>
          <w:color w:val="000000"/>
          <w:sz w:val="22"/>
        </w:rPr>
        <w:t xml:space="preserve">(135G) </w:t>
      </w:r>
      <w:r>
        <w:rPr>
          <w:rFonts w:ascii="Times New Roman" w:hAnsi="Times New Roman"/>
          <w:b/>
          <w:i w:val="false"/>
          <w:color w:val="000000"/>
          <w:sz w:val="22"/>
        </w:rPr>
        <w:t xml:space="preserve">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71.17(1)</w:t>
      </w:r>
      <w:r>
        <w:rPr>
          <w:rFonts w:ascii="Times New Roman" w:hAnsi="Times New Roman"/>
          <w:b w:val="false"/>
          <w:i w:val="false"/>
          <w:color w:val="000000"/>
          <w:sz w:val="22"/>
        </w:rPr>
        <w:t> </w:t>
      </w:r>
      <w:r>
        <w:rPr>
          <w:rFonts w:ascii="Times New Roman" w:hAnsi="Times New Roman"/>
          <w:b w:val="false"/>
          <w:i w:val="false"/>
          <w:color w:val="000000"/>
          <w:sz w:val="22"/>
        </w:rPr>
        <w:t>Medications must be ordered by qualified prescribers and administered by qualified personnel. For purposes of this subrule, “qualified personnel” means, at a minimum, a certified medication aide.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71.17(2)</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must be legally dispensed and labeled according to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71.17(3)</w:t>
      </w:r>
      <w:r>
        <w:rPr>
          <w:rFonts w:ascii="Times New Roman" w:hAnsi="Times New Roman"/>
          <w:b w:val="false"/>
          <w:i w:val="false"/>
          <w:color w:val="000000"/>
          <w:sz w:val="22"/>
        </w:rPr>
        <w:t> </w:t>
      </w:r>
      <w:r>
        <w:rPr>
          <w:rFonts w:ascii="Times New Roman" w:hAnsi="Times New Roman"/>
          <w:b w:val="false"/>
          <w:i w:val="false"/>
          <w:color w:val="000000"/>
          <w:sz w:val="22"/>
        </w:rPr>
        <w:t>All medication errors, drug reactions and suspected drug overmedication must be documented and reported to the practitioner who prescribed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71.17(4)</w:t>
      </w:r>
      <w:r>
        <w:rPr>
          <w:rFonts w:ascii="Times New Roman" w:hAnsi="Times New Roman"/>
          <w:b w:val="false"/>
          <w:i w:val="false"/>
          <w:color w:val="000000"/>
          <w:sz w:val="22"/>
        </w:rPr>
        <w:t> </w:t>
      </w:r>
      <w:r>
        <w:rPr>
          <w:rFonts w:ascii="Times New Roman" w:hAnsi="Times New Roman"/>
          <w:b w:val="false"/>
          <w:i w:val="false"/>
          <w:color w:val="000000"/>
          <w:sz w:val="22"/>
        </w:rPr>
        <w:t>All medications and other preparations intended for internal or external human use must be stored in medicine cabinets or drug rooms. When preservation of the medication or other preparation requires refrigeration, the facility must provide a means of securely refrigerating these items. Such cabinets or drug rooms must be kept securely locked when not in use, and the key must be in the possession of the supervising nurse or other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71.17(5)</w:t>
      </w:r>
      <w:r>
        <w:rPr>
          <w:rFonts w:ascii="Times New Roman" w:hAnsi="Times New Roman"/>
          <w:b w:val="false"/>
          <w:i w:val="false"/>
          <w:color w:val="000000"/>
          <w:sz w:val="22"/>
        </w:rPr>
        <w:t> </w:t>
      </w:r>
      <w:r>
        <w:rPr>
          <w:rFonts w:ascii="Times New Roman" w:hAnsi="Times New Roman"/>
          <w:b w:val="false"/>
          <w:i w:val="false"/>
          <w:color w:val="000000"/>
          <w:sz w:val="22"/>
        </w:rPr>
        <w:t>Schedule II drugs must be stored within two separately locked compartments at all times and accessible only to qualified personnel in charge of administering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71.17(6)</w:t>
      </w:r>
      <w:r>
        <w:rPr>
          <w:rFonts w:ascii="Times New Roman" w:hAnsi="Times New Roman"/>
          <w:b w:val="false"/>
          <w:i w:val="false"/>
          <w:color w:val="000000"/>
          <w:sz w:val="22"/>
        </w:rPr>
        <w:t> </w:t>
      </w:r>
      <w:r>
        <w:rPr>
          <w:rFonts w:ascii="Times New Roman" w:hAnsi="Times New Roman"/>
          <w:b w:val="false"/>
          <w:i w:val="false"/>
          <w:color w:val="000000"/>
          <w:sz w:val="22"/>
        </w:rPr>
        <w:t>Any unused portions of program-prescribed medication(s) must be either turned over to the resident with written authorization and directions by the qualified prescriber or returned to a pharmacy for proper disposition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71.17(7)</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resident brings the resident’s own prescribed medications into the facility, such medications must not be administered unless identified by a qualified prescriber or pharmacist and ordered by a qualified prescriber. If such medications cannot be administered, they must be packaged, sealed, and returned to an adult member of the resident’s immediate family or the legal guardian or securely stored and returned to the resident upon discharge. However, if previously prescribed medication would prove harmful to the resident, the medication may be withheld from the resident and disposed of in accordance with subrule </w:t>
      </w:r>
      <w:hyperlink r:id="rId23">
        <w:r>
          <w:rPr>
            <w:rStyle w:val="Hyperlink"/>
            <w:rFonts w:ascii="Times New Roman" w:hAnsi="Times New Roman"/>
            <w:b w:val="false"/>
            <w:i w:val="false"/>
            <w:color w:val="000000"/>
            <w:sz w:val="22"/>
          </w:rPr>
          <w:t>71.17(6)</w:t>
        </w:r>
      </w:hyperlink>
      <w:r>
        <w:rPr>
          <w:rFonts w:ascii="Times New Roman" w:hAnsi="Times New Roman"/>
          <w:b w:val="false"/>
          <w:i w:val="false"/>
          <w:color w:val="000000"/>
          <w:sz w:val="22"/>
        </w:rPr>
        <w:t>. There must be documentation by the qualified prescriber in the resident’s clinical record citing the dangers or contraindications of the medication being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medications. All potent, poisonous, or caustic materials shall be plainly labeled and stored in a specific, well-illuminated cabinet, closet or storeroom and made accessible only to authorized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481—71.18</w:t>
      </w:r>
      <w:r>
        <w:rPr>
          <w:rFonts w:ascii="Times New Roman" w:hAnsi="Times New Roman"/>
          <w:b/>
          <w:i w:val="false"/>
          <w:color w:val="000000"/>
          <w:sz w:val="22"/>
        </w:rPr>
        <w:t xml:space="preserve">(135G)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71.18(1)</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71.18(2)</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24">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481—71.19</w:t>
      </w:r>
      <w:r>
        <w:rPr>
          <w:rFonts w:ascii="Times New Roman" w:hAnsi="Times New Roman"/>
          <w:b/>
          <w:i w:val="false"/>
          <w:color w:val="000000"/>
          <w:sz w:val="22"/>
        </w:rPr>
        <w:t xml:space="preserve">(135G)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fire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as needed, except on furniture provided by the resident and the property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71.19(3)</w:t>
      </w:r>
      <w:r>
        <w:rPr>
          <w:rFonts w:ascii="Times New Roman" w:hAnsi="Times New Roman"/>
          <w:b w:val="false"/>
          <w:i w:val="false"/>
          <w:color w:val="000000"/>
          <w:sz w:val="22"/>
        </w:rPr>
        <w:t> </w:t>
      </w:r>
      <w:r>
        <w:rPr>
          <w:rFonts w:ascii="Times New Roman" w:hAnsi="Times New Roman"/>
          <w:b w:val="false"/>
          <w:i/>
          <w:color w:val="000000"/>
          <w:sz w:val="22"/>
        </w:rPr>
        <w:t xml:space="preserve">Dining area and common area. </w:t>
      </w:r>
      <w:r>
        <w:rPr>
          <w:rFonts w:ascii="Times New Roman" w:hAnsi="Times New Roman"/>
          <w:b w:val="false"/>
          <w:i w:val="false"/>
          <w:color w:val="000000"/>
          <w:sz w:val="22"/>
        </w:rPr>
        <w:t>Every facility shall have a dining area and a common area easily accessible to all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area shall be maintained for the use of residents and their visitors and may be used for recreational activities. Common areas shall be suitably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areas shall be furnished with dining tables and chairs appropriate to the size and function of the facility. Dining areas and furnishings shall be kept clean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twin-sized or larger bed, substantially constructed and in good repair. Rollaway beds, metal cots, or folding beds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two residents per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toilet and one sink for each four residents and one shower for each eight residents. For example, a facility with the maximum of 16 beds shall have four toilets and sinks and two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481—71.20</w:t>
      </w:r>
      <w:r>
        <w:rPr>
          <w:rFonts w:ascii="Times New Roman" w:hAnsi="Times New Roman"/>
          <w:b/>
          <w:i w:val="false"/>
          <w:color w:val="000000"/>
          <w:sz w:val="22"/>
        </w:rPr>
        <w:t xml:space="preserve">(135G)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and previous address of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Provisional or admitting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biopsychosocial history sufficient to provide data on the resident’s relevant past history, present situation, social support system, community resource contacts, and other information relevant to appropriate treatment and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telephone number and address of the licensed mental health professional completing the biopsychosocial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Written orders for treatment and medications, signed by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Notations describing the resident’s condition on admission, transfer,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Individualized treatment and discharge or transfer plan pursuant to rule </w:t>
      </w:r>
      <w:hyperlink r:id="rId25">
        <w:r>
          <w:rPr>
            <w:rStyle w:val="Hyperlink"/>
            <w:rFonts w:ascii="Times New Roman" w:hAnsi="Times New Roman"/>
            <w:b w:val="false"/>
            <w:i w:val="false"/>
            <w:color w:val="000000"/>
            <w:sz w:val="22"/>
          </w:rPr>
          <w:t>481—71.14</w:t>
        </w:r>
      </w:hyperlink>
      <w:r>
        <w:rPr>
          <w:rFonts w:ascii="Times New Roman" w:hAnsi="Times New Roman"/>
          <w:b w:val="false"/>
          <w:i w:val="false"/>
          <w:color w:val="000000"/>
          <w:sz w:val="22"/>
        </w:rPr>
        <w:t>(135G);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notes, including any use of seclusion or restraint pursuant to rule </w:t>
      </w:r>
      <w:hyperlink r:id="rId26">
        <w:r>
          <w:rPr>
            <w:rStyle w:val="Hyperlink"/>
            <w:rFonts w:ascii="Times New Roman" w:hAnsi="Times New Roman"/>
            <w:b w:val="false"/>
            <w:i w:val="false"/>
            <w:color w:val="000000"/>
            <w:sz w:val="22"/>
          </w:rPr>
          <w:t>481—71.16</w:t>
        </w:r>
      </w:hyperlink>
      <w:r>
        <w:rPr>
          <w:rFonts w:ascii="Times New Roman" w:hAnsi="Times New Roman"/>
          <w:b w:val="false"/>
          <w:i w:val="false"/>
          <w:color w:val="000000"/>
          <w:sz w:val="22"/>
        </w:rPr>
        <w:t>(135G), recorded by the physician, physician associate, advanced registered nurse practitioner or mental health professional and, when appropriate, others significantly involved in active treatment modalities. Progress notes must contain a concise assessment of the resident’s progress and recommendations for revising the treatment plan as indicated by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discharge summary, including a recapitulation of the resident’s hospitalization, recommendations for appropriate services concerning follow-up, and a brief summary of the resident’s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assured confidential treatment of all information, including information contained in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services to the resident. Information shall be made available to staff only to the extent that the information is relevant to the staff person’s responsibilities and duties. This restriction shall not preclude access by representatives of state or federal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unless the physician, physician associate, advanced registered nurse practitioner or mental health professional determines the disclosure of the record or a section thereof is contraindicated, in which case the designated information will be redacted prior to making the record available to the resident. This determination and the reasons for it must be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subacute care facility shall maintain an incident record report and shall have available incident report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report of every unusual occurrence shall be detailed on the printed incident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unusual occurrence shall oversee the preparation of and sign the incident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and shall be available for review and a part of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termination of services to the resident, even when there is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or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481—71.21</w:t>
      </w:r>
      <w:r>
        <w:rPr>
          <w:rFonts w:ascii="Times New Roman" w:hAnsi="Times New Roman"/>
          <w:b/>
          <w:i w:val="false"/>
          <w:color w:val="000000"/>
          <w:sz w:val="22"/>
        </w:rPr>
        <w:t xml:space="preserve">(135G) </w:t>
      </w:r>
      <w:r>
        <w:rPr>
          <w:rFonts w:ascii="Times New Roman" w:hAnsi="Times New Roman"/>
          <w:b/>
          <w:i w:val="false"/>
          <w:color w:val="000000"/>
          <w:sz w:val="22"/>
        </w:rPr>
        <w:t xml:space="preserve">Residents’ rights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Each facility shall ensure that policies and procedures are written and implemented, include all of the following subrules, and govern all areas of service provided to staff and residents, their families or legal representatives. The policies and procedures shall be available to the public and shall be reviewed annually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71.21(2)</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Written policies and procedures shall include a method for submission of grievances and recommendations by residents or their responsible parties and a method to ensure a response and disposition by the facility. The written grievance procedure shall ensure protection of the resident from any form of reprisal or intimidation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an employee or an alternate staff person designated to be responsible for handling grievances and recommendations;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to investigate and assess the validity of a grievance or recommendation, resolve grievances, and take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71.21(3)</w:t>
      </w:r>
      <w:r>
        <w:rPr>
          <w:rFonts w:ascii="Times New Roman" w:hAnsi="Times New Roman"/>
          <w:b w:val="false"/>
          <w:i w:val="false"/>
          <w:color w:val="000000"/>
          <w:sz w:val="22"/>
        </w:rPr>
        <w:t> </w:t>
      </w:r>
      <w:r>
        <w:rPr>
          <w:rFonts w:ascii="Times New Roman" w:hAnsi="Times New Roman"/>
          <w:b w:val="false"/>
          <w:i/>
          <w:color w:val="000000"/>
          <w:sz w:val="22"/>
        </w:rPr>
        <w:t xml:space="preserve">Informed of rights and responsibilities.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residents about what they may expect from the facility and its staff and what is expected from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the person’s native language or sign language. In the case of visually impaired residents, either Braille or a recording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and legal guardian, if applicable, indicating an understanding of these rights and responsibilities, and the statement shall be maintained in the record. A copy of the signed statement shall be given to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71.21(4)</w:t>
      </w:r>
      <w:r>
        <w:rPr>
          <w:rFonts w:ascii="Times New Roman" w:hAnsi="Times New Roman"/>
          <w:b w:val="false"/>
          <w:i w:val="false"/>
          <w:color w:val="000000"/>
          <w:sz w:val="22"/>
        </w:rPr>
        <w:t> </w:t>
      </w:r>
      <w:r>
        <w:rPr>
          <w:rFonts w:ascii="Times New Roman" w:hAnsi="Times New Roman"/>
          <w:b w:val="false"/>
          <w:i/>
          <w:color w:val="000000"/>
          <w:sz w:val="22"/>
        </w:rPr>
        <w:t xml:space="preserve">Informed of health condition. </w:t>
      </w:r>
      <w:r>
        <w:rPr>
          <w:rFonts w:ascii="Times New Roman" w:hAnsi="Times New Roman"/>
          <w:b w:val="false"/>
          <w:i w:val="false"/>
          <w:color w:val="000000"/>
          <w:sz w:val="22"/>
        </w:rPr>
        <w:t>Each resident or legal guardian shall be fully informed by a physician, physician associate, advanced registered nurse practitioner or mental health professional of the resident’s health and medical condition unless medically contraindicated as documented by a physician, physician associate, advanced registered nurse practitioner or mental health professional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71.21(5)</w:t>
      </w:r>
      <w:r>
        <w:rPr>
          <w:rFonts w:ascii="Times New Roman" w:hAnsi="Times New Roman"/>
          <w:b w:val="false"/>
          <w:i w:val="false"/>
          <w:color w:val="000000"/>
          <w:sz w:val="22"/>
        </w:rPr>
        <w:t> </w:t>
      </w:r>
      <w:r>
        <w:rPr>
          <w:rFonts w:ascii="Times New Roman" w:hAnsi="Times New Roman"/>
          <w:b w:val="false"/>
          <w:i/>
          <w:color w:val="000000"/>
          <w:sz w:val="22"/>
        </w:rPr>
        <w:t xml:space="preserve">Posting of names. </w:t>
      </w:r>
      <w:r>
        <w:rPr>
          <w:rFonts w:ascii="Times New Roman" w:hAnsi="Times New Roman"/>
          <w:b w:val="false"/>
          <w:i w:val="false"/>
          <w:color w:val="000000"/>
          <w:sz w:val="22"/>
        </w:rPr>
        <w:t>The facility shall post in a prominent area the name, telephone number, and address of the survey agency, the local law enforcement agency and the protection and advocacy agency designated to provide to residents another course of redress.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71.21(6)</w:t>
      </w:r>
      <w:r>
        <w:rPr>
          <w:rFonts w:ascii="Times New Roman" w:hAnsi="Times New Roman"/>
          <w:b w:val="false"/>
          <w:i w:val="false"/>
          <w:color w:val="000000"/>
          <w:sz w:val="22"/>
        </w:rPr>
        <w:t> </w:t>
      </w:r>
      <w:r>
        <w:rPr>
          <w:rFonts w:ascii="Times New Roman" w:hAnsi="Times New Roman"/>
          <w:b w:val="false"/>
          <w:i/>
          <w:color w:val="000000"/>
          <w:sz w:val="22"/>
        </w:rPr>
        <w:t xml:space="preserve">Dignity preserved. </w:t>
      </w:r>
      <w:r>
        <w:rPr>
          <w:rFonts w:ascii="Times New Roman" w:hAnsi="Times New Roman"/>
          <w:b w:val="false"/>
          <w:i w:val="false"/>
          <w:color w:val="000000"/>
          <w:sz w:val="22"/>
        </w:rPr>
        <w:t>Each resident shall be treated with consideration, respect, and full recognition of the resident’s dignity and individuality, including privacy in treatment and in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verbal abuse, or any other activity that would be damaging to an individual’s self-respect shall be prohibited by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shall not be used as punishment, for the convenience of staff, or as a substitute for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 individuality and dignity of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shall shield the resident from passersby. People not involved in the care of the residents shall not be present without the resident’s consent while the resident is being examined or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requirement does not apply under emergency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71.21(7)</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Each resident may send and receive personal mail unopened unless prohibited in the treatment plan, which requires explicit approval of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71.21(8)</w:t>
      </w:r>
      <w:r>
        <w:rPr>
          <w:rFonts w:ascii="Times New Roman" w:hAnsi="Times New Roman"/>
          <w:b w:val="false"/>
          <w:i w:val="false"/>
          <w:color w:val="000000"/>
          <w:sz w:val="22"/>
        </w:rPr>
        <w:t> </w:t>
      </w:r>
      <w:r>
        <w:rPr>
          <w:rFonts w:ascii="Times New Roman" w:hAnsi="Times New Roman"/>
          <w:b w:val="false"/>
          <w:i/>
          <w:color w:val="000000"/>
          <w:sz w:val="22"/>
        </w:rPr>
        <w:t xml:space="preserve">Visiting hours.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would not be in accordance with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Reasons for denial of visitation shall be documented in the resident’s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71.21(9)</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Space shall be provided for residents to receive visitors in comfort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71.21(10)</w:t>
      </w:r>
      <w:r>
        <w:rPr>
          <w:rFonts w:ascii="Times New Roman" w:hAnsi="Times New Roman"/>
          <w:b w:val="false"/>
          <w:i w:val="false"/>
          <w:color w:val="000000"/>
          <w:sz w:val="22"/>
        </w:rPr>
        <w:t> </w:t>
      </w:r>
      <w:r>
        <w:rPr>
          <w:rFonts w:ascii="Times New Roman" w:hAnsi="Times New Roman"/>
          <w:b w:val="false"/>
          <w:i/>
          <w:color w:val="000000"/>
          <w:sz w:val="22"/>
        </w:rPr>
        <w:t xml:space="preserve">Telephone calls.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71.21(11)</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Arrangements shall be made to provide assistance to residents who require help in reading or sending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71.21(12)</w:t>
      </w:r>
      <w:r>
        <w:rPr>
          <w:rFonts w:ascii="Times New Roman" w:hAnsi="Times New Roman"/>
          <w:b w:val="false"/>
          <w:i w:val="false"/>
          <w:color w:val="000000"/>
          <w:sz w:val="22"/>
        </w:rPr>
        <w:t> </w:t>
      </w:r>
      <w:r>
        <w:rPr>
          <w:rFonts w:ascii="Times New Roman" w:hAnsi="Times New Roman"/>
          <w:b w:val="false"/>
          <w:i/>
          <w:color w:val="000000"/>
          <w:sz w:val="22"/>
        </w:rPr>
        <w:t xml:space="preserve">Permission to leave premises. </w:t>
      </w:r>
      <w:r>
        <w:rPr>
          <w:rFonts w:ascii="Times New Roman" w:hAnsi="Times New Roman"/>
          <w:b w:val="false"/>
          <w:i w:val="false"/>
          <w:color w:val="000000"/>
          <w:sz w:val="22"/>
        </w:rPr>
        <w:t>Residents shall be permitted to leave the facility and environs at reasonable times if permitted in writing by the physician, physician associate, advanced registered nurse practitioner, mental health professional, or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71.21(13)</w:t>
      </w:r>
      <w:r>
        <w:rPr>
          <w:rFonts w:ascii="Times New Roman" w:hAnsi="Times New Roman"/>
          <w:b w:val="false"/>
          <w:i w:val="false"/>
          <w:color w:val="000000"/>
          <w:sz w:val="22"/>
        </w:rPr>
        <w:t> </w:t>
      </w:r>
      <w:r>
        <w:rPr>
          <w:rFonts w:ascii="Times New Roman" w:hAnsi="Times New Roman"/>
          <w:b w:val="false"/>
          <w:i/>
          <w:color w:val="000000"/>
          <w:sz w:val="22"/>
        </w:rPr>
        <w:t xml:space="preserve">Resident activities. </w:t>
      </w:r>
      <w:r>
        <w:rPr>
          <w:rFonts w:ascii="Times New Roman" w:hAnsi="Times New Roman"/>
          <w:b w:val="false"/>
          <w:i w:val="false"/>
          <w:color w:val="000000"/>
          <w:sz w:val="22"/>
        </w:rPr>
        <w:t>Each resident may participate in recreational activities as desired unless contraindicated for reasons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71.21(14)</w:t>
      </w:r>
      <w:r>
        <w:rPr>
          <w:rFonts w:ascii="Times New Roman" w:hAnsi="Times New Roman"/>
          <w:b w:val="false"/>
          <w:i w:val="false"/>
          <w:color w:val="000000"/>
          <w:sz w:val="22"/>
        </w:rPr>
        <w:t> </w:t>
      </w:r>
      <w:r>
        <w:rPr>
          <w:rFonts w:ascii="Times New Roman" w:hAnsi="Times New Roman"/>
          <w:b w:val="false"/>
          <w:i/>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cash and other financial instruments, provided that the use of such items is not otherwise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property shall be kept in a secure location which is convenient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advised, prior to or at the time of admission, of the kinds and amounts of clothing and possessions permitted for personal use and whether the facility will accept responsibility for maintaining these items, e.g., cleaning and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possessions retained by the facility for the resident shall be identified and recorded on admission and the record placed on the resident’s chart. The facility shall be responsible for secure storage of items, and the items shall be returned to the resident promptly upon request or upon discharge from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481—71.22</w:t>
      </w:r>
      <w:r>
        <w:rPr>
          <w:rFonts w:ascii="Times New Roman" w:hAnsi="Times New Roman"/>
          <w:b/>
          <w:i w:val="false"/>
          <w:color w:val="000000"/>
          <w:sz w:val="22"/>
        </w:rPr>
        <w:t xml:space="preserve">(135G) </w:t>
      </w:r>
      <w:r>
        <w:rPr>
          <w:rFonts w:ascii="Times New Roman" w:hAnsi="Times New Roman"/>
          <w:b/>
          <w:i w:val="false"/>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71.22(1)</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Each facility shall have written policies and procedures for emergency medical and psychiatric treatment, which shall include immediate notification by the person in charge to the physician, physician associate, advanced registered nurse practitioner or mental health professional of any accident, injury or adverse change in the resident’s condition. “Immediate” for purposes of this subrule means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71.22(2)</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Each facility shall have a written and implemented infection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71.22(4)</w:t>
      </w:r>
      <w:r>
        <w:rPr>
          <w:rFonts w:ascii="Times New Roman" w:hAnsi="Times New Roman"/>
          <w:b w:val="false"/>
          <w:i w:val="false"/>
          <w:color w:val="000000"/>
          <w:sz w:val="22"/>
        </w:rPr>
        <w:t> </w:t>
      </w:r>
      <w:r>
        <w:rPr>
          <w:rFonts w:ascii="Times New Roman" w:hAnsi="Times New Roman"/>
          <w:b w:val="false"/>
          <w:i/>
          <w:color w:val="000000"/>
          <w:sz w:val="22"/>
        </w:rPr>
        <w:t xml:space="preserve">Safe environment. </w:t>
      </w:r>
      <w:r>
        <w:rPr>
          <w:rFonts w:ascii="Times New Roman" w:hAnsi="Times New Roman"/>
          <w:b w:val="false"/>
          <w:i w:val="false"/>
          <w:color w:val="000000"/>
          <w:sz w:val="22"/>
        </w:rPr>
        <w:t>The licensee of a subacute care facility is responsible for the provision and maintenance of a safe environment for residents and personnel. The subacute care facility shall meet the fire and safety rules as promulgated by the state fire marshal or the state fire marshal’s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71.22(5)</w:t>
      </w: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The licensee shall have a written emergency plan to be followed in the event of fire, tornado, explosion, or 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to ensure that all employees are knowledgeable of the emergency plan. The training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71.22(6)</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A subacute care facility shall follow the smokefree air Act, Iowa Code chapter </w:t>
      </w:r>
      <w:hyperlink r:id="rId2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1740C</w:t>
      </w:r>
      <w:r>
        <w:rPr>
          <w:rFonts w:ascii="Times New Roman" w:hAnsi="Times New Roman"/>
          <w:b w:val="false"/>
          <w:i w:val="false"/>
          <w:color w:val="000000"/>
          <w:sz w:val="21"/>
        </w:rPr>
        <w:t xml:space="preserve"> (Notice ARC 1615C, IAB 9/3/14)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2068C</w:t>
      </w:r>
      <w:r>
        <w:rPr>
          <w:rFonts w:ascii="Times New Roman" w:hAnsi="Times New Roman"/>
          <w:b w:val="false"/>
          <w:i w:val="false"/>
          <w:color w:val="000000"/>
          <w:sz w:val="21"/>
        </w:rPr>
        <w:t xml:space="preserve"> (Notice ARC 1996C, IAB 5/27/15)</w:t>
      </w:r>
      <w:r>
        <w:rPr>
          <w:rFonts w:ascii="Times New Roman" w:hAnsi="Times New Roman"/>
          <w:b w:val="false"/>
          <w:i w:val="false"/>
          <w:color w:val="000000"/>
          <w:sz w:val="21"/>
        </w:rPr>
        <w:t>, IAB 7/22/15, effective 8/26/15]</w:t>
      </w:r>
    </w:p>
    <w:p>
      <w:pPr>
        <w:spacing w:before="0" w:after="0"/>
        <w:ind w:left="120"/>
        <w:jc w:val="center"/>
      </w:pPr>
      <w:r>
        <w:rPr>
          <w:rFonts w:ascii="Times New Roman" w:hAnsi="Times New Roman"/>
          <w:b w:val="false"/>
          <w:i w:val="false"/>
          <w:color w:val="000000"/>
          <w:sz w:val="21"/>
        </w:rPr>
        <w:t>[Filed ARC 4431C</w:t>
      </w:r>
      <w:r>
        <w:rPr>
          <w:rFonts w:ascii="Times New Roman" w:hAnsi="Times New Roman"/>
          <w:b w:val="false"/>
          <w:i w:val="false"/>
          <w:color w:val="000000"/>
          <w:sz w:val="21"/>
        </w:rPr>
        <w:t xml:space="preserve"> (Notice ARC 4328C, IAB 3/13/19)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G.1.pdf" Type="http://schemas.openxmlformats.org/officeDocument/2006/relationships/hyperlink" Id="rId5"/>
    <Relationship TargetMode="External" Target="http://www.samhsa.gov" Type="http://schemas.openxmlformats.org/officeDocument/2006/relationships/hyperlink" Id="rId6"/>
    <Relationship TargetMode="External" Target="https://www.legis.iowa.gov/docs/iac/rule/481.71.13.pdf" Type="http://schemas.openxmlformats.org/officeDocument/2006/relationships/hyperlink" Id="rId7"/>
    <Relationship TargetMode="External" Target="https://www.legis.iowa.gov/docs/ico/chapter/135G.pdf" Type="http://schemas.openxmlformats.org/officeDocument/2006/relationships/hyperlink" Id="rId8"/>
    <Relationship TargetMode="External" Target="https://www.legis.iowa.gov/docs/ico/chapter/135G.4.pdf" Type="http://schemas.openxmlformats.org/officeDocument/2006/relationships/hyperlink" Id="rId9"/>
    <Relationship TargetMode="External" Target="https://www.legis.iowa.gov/docs/iac/chapter/7.2504.pdf" Type="http://schemas.openxmlformats.org/officeDocument/2006/relationships/hyperlink" Id="rId10"/>
    <Relationship TargetMode="External" Target="https://www.legis.iowa.gov/docs/ico/chapter/135G.8.pdf" Type="http://schemas.openxmlformats.org/officeDocument/2006/relationships/hyperlink" Id="rId11"/>
    <Relationship TargetMode="External" Target="https://www.legis.iowa.gov/docs/ico/chapter/228.1.pdf" Type="http://schemas.openxmlformats.org/officeDocument/2006/relationships/hyperlink" Id="rId12"/>
    <Relationship TargetMode="External" Target="https://www.legis.iowa.gov/docs/iac/rule/481.71.10.pdf" Type="http://schemas.openxmlformats.org/officeDocument/2006/relationships/hyperlink" Id="rId13"/>
    <Relationship TargetMode="External" Target="https://www.legis.iowa.gov/docs/ico/chapter/228.1.pdf" Type="http://schemas.openxmlformats.org/officeDocument/2006/relationships/hyperlink" Id="rId14"/>
    <Relationship TargetMode="External" Target="https://www.legis.iowa.gov/docs/iac/chapter/481.59.pdf" Type="http://schemas.openxmlformats.org/officeDocument/2006/relationships/hyperlink" Id="rId15"/>
    <Relationship TargetMode="External" Target="https://www.legis.iowa.gov/docs/iac/rule/481.71.13.pdf" Type="http://schemas.openxmlformats.org/officeDocument/2006/relationships/hyperlink" Id="rId16"/>
    <Relationship TargetMode="External" Target="https://www.legis.iowa.gov/docs/ico/chapter/228.1.pdf" Type="http://schemas.openxmlformats.org/officeDocument/2006/relationships/hyperlink" Id="rId17"/>
    <Relationship TargetMode="External" Target="https://www.legis.iowa.gov/docs/iac/rule/481.71.13.pdf" Type="http://schemas.openxmlformats.org/officeDocument/2006/relationships/hyperlink" Id="rId18"/>
    <Relationship TargetMode="External" Target="https://www.legis.iowa.gov/docs/iac/rule/481.71.13.pdf" Type="http://schemas.openxmlformats.org/officeDocument/2006/relationships/hyperlink" Id="rId19"/>
    <Relationship TargetMode="External" Target="https://www.legis.iowa.gov/docs/iac/rule/481.71.13.pdf" Type="http://schemas.openxmlformats.org/officeDocument/2006/relationships/hyperlink" Id="rId20"/>
    <Relationship TargetMode="External" Target="https://www.legis.iowa.gov/docs/iac/rule/481.71.18.pdf" Type="http://schemas.openxmlformats.org/officeDocument/2006/relationships/hyperlink" Id="rId21"/>
    <Relationship TargetMode="External" Target="https://www.legis.iowa.gov/docs/ico/chapter/135G.3.pdf" Type="http://schemas.openxmlformats.org/officeDocument/2006/relationships/hyperlink" Id="rId22"/>
    <Relationship TargetMode="External" Target="https://www.legis.iowa.gov/docs/iac/rule/481.71.17.pdf" Type="http://schemas.openxmlformats.org/officeDocument/2006/relationships/hyperlink" Id="rId23"/>
    <Relationship TargetMode="External" Target="https://www.legis.iowa.gov/docs/ico/chapter/137F.2.pdf" Type="http://schemas.openxmlformats.org/officeDocument/2006/relationships/hyperlink" Id="rId24"/>
    <Relationship TargetMode="External" Target="https://www.legis.iowa.gov/docs/iac/rule/481.71.14.pdf" Type="http://schemas.openxmlformats.org/officeDocument/2006/relationships/hyperlink" Id="rId25"/>
    <Relationship TargetMode="External" Target="https://www.legis.iowa.gov/docs/iac/rule/481.71.16.pdf" Type="http://schemas.openxmlformats.org/officeDocument/2006/relationships/hyperlink" Id="rId26"/>
    <Relationship TargetMode="External" Target="https://www.legis.iowa.gov/docs/ico/chapter/142D.pdf" Type="http://schemas.openxmlformats.org/officeDocument/2006/relationships/hyperlink" Id="rId27"/>
    <Relationship TargetMode="External" Target="https://www.legis.iowa.gov/docs/ico/chapter/135G.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