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702</w:t>
      </w:r>
    </w:p>
    <w:p>
      <w:pPr>
        <w:spacing w:before="0" w:after="0"/>
        <w:ind w:left="120"/>
        <w:jc w:val="center"/>
      </w:pPr>
      <w:r>
        <w:rPr>
          <w:rFonts w:ascii="Times New Roman" w:hAnsi="Times New Roman"/>
          <w:b w:val="false"/>
          <w:i w:val="false"/>
          <w:color w:val="000000"/>
          <w:sz w:val="21"/>
        </w:rPr>
        <w:t>CONTINUING EDUCATION FOR PODIATRISTS</w:t>
      </w:r>
    </w:p>
    <w:p>
      <w:pPr>
        <w:spacing w:before="0" w:after="0"/>
        <w:ind w:left="120"/>
        <w:jc w:val="center"/>
      </w:pPr>
      <w:r>
        <w:rPr>
          <w:rFonts w:ascii="Times New Roman" w:hAnsi="Times New Roman"/>
          <w:b w:val="false"/>
          <w:i w:val="false"/>
          <w:color w:val="000000"/>
          <w:sz w:val="20"/>
        </w:rPr>
        <w:t>[Prior to 9/18/24, see Professional Licensure Division[645] Ch 222]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(149,272C)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podiatrist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(149,272C)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 Each biennium, each person who is licensed to practice as a podiatrist in this state shall be required to complete a minimum of 40 hours of continuing education. 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(149,272C)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 college, university, or graduate school that is recognized by the U.S. Department of Education.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 programs/activities of a podiatric scientific nature and sponsored by an accredited college of podiatric medicine or the American Podiatric Medical Association or a regional or state affiliate or nonprofit hospital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 which participants and faculty are present at the same time and attendance can be verified. Such activities include lectures, conferences, focused seminars, clinical and practical workshops, simultaneous live satellite broadcasts and teleconferences;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Scientifically oriented material or risk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podiatrist utilizes conscious sedation, the podiatrist shall obtain a minimum of one hour of continuing education in the area of conscious sedation or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a renewal cycle shall have obtained a minimum of one hour of continuing education regarding the United States Centers for Disease Control and Prevention guideline for prescribing opioids for chronic pain, including recommendations on limitations on dosages and the length of prescriptions, risk factors for abuse, and nonopioid and nonpharmacologic therapy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Combined maximum per biennium of 20 hours for the following continuing education source areas will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subrule.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viewing videotaped presentations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approved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meets all the criteria in rule </w:t>
      </w:r>
      <w:hyperlink r:id="rId5">
        <w:r>
          <w:rPr>
            <w:rStyle w:val="Hyperlink"/>
            <w:rFonts w:ascii="Times New Roman" w:hAnsi="Times New Roman"/>
            <w:b w:val="false"/>
            <w:i w:val="false"/>
            <w:color w:val="000000"/>
            <w:sz w:val="22"/>
          </w:rPr>
          <w:t>481—702.3</w:t>
        </w:r>
      </w:hyperlink>
      <w:r>
        <w:rPr>
          <w:rFonts w:ascii="Times New Roman" w:hAnsi="Times New Roman"/>
          <w:b w:val="false"/>
          <w:i w:val="false"/>
          <w:color w:val="000000"/>
          <w:sz w:val="22"/>
        </w:rPr>
        <w:t>(149,272C).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computer-assisted instructional courses or programs pertaining to patient care and the practice of podiatric medicine and surgery. These courses and programs must be approved by the American Podiatric Medical Association or its affiliates and have a certificate of completion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course/program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Title of course/program;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course/program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Official signature or verification of course/program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reading journal articles pertaining to patient care and the practice of podiatric medicine and surgery. The licensee must pass a required posttest and be provided with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office management courses will be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Credit is given only for actual hours 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1420C</w:t>
      </w:r>
      <w:r>
        <w:rPr>
          <w:rFonts w:ascii="Times New Roman" w:hAnsi="Times New Roman"/>
          <w:b w:val="false"/>
          <w:i w:val="false"/>
          <w:color w:val="000000"/>
          <w:sz w:val="21"/>
        </w:rPr>
        <w:t xml:space="preserve"> (Notice ARC 1199C, IAB 11/27/13)</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7988C</w:t>
      </w:r>
      <w:r>
        <w:rPr>
          <w:rFonts w:ascii="Times New Roman" w:hAnsi="Times New Roman"/>
          <w:b w:val="false"/>
          <w:i w:val="false"/>
          <w:color w:val="000000"/>
          <w:sz w:val="21"/>
        </w:rPr>
        <w:t xml:space="preserve"> (Notice ARC 7177C,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9216C</w:t>
      </w:r>
      <w:r>
        <w:rPr>
          <w:rFonts w:ascii="Times New Roman" w:hAnsi="Times New Roman"/>
          <w:b w:val="false"/>
          <w:i w:val="false"/>
          <w:color w:val="000000"/>
          <w:sz w:val="21"/>
        </w:rPr>
        <w:t xml:space="preserve"> (Notice ARC 8874C,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2.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