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69</w:t>
      </w:r>
    </w:p>
    <w:p>
      <w:pPr>
        <w:spacing w:before="0" w:after="0"/>
        <w:ind w:left="120"/>
        <w:jc w:val="center"/>
      </w:pPr>
      <w:r>
        <w:rPr>
          <w:rFonts w:ascii="Times New Roman" w:hAnsi="Times New Roman"/>
          <w:b w:val="false"/>
          <w:i w:val="false"/>
          <w:color w:val="000000"/>
          <w:sz w:val="21"/>
        </w:rPr>
        <w:t>ASSISTED LIVING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481—69.1</w:t>
      </w:r>
      <w:r>
        <w:rPr>
          <w:rFonts w:ascii="Times New Roman" w:hAnsi="Times New Roman"/>
          <w:b/>
          <w:i w:val="false"/>
          <w:color w:val="000000"/>
          <w:sz w:val="22"/>
        </w:rPr>
        <w:t xml:space="preserve">(231C)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5">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“Applicable requirements”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requirements in Iowa Code chapter </w:t>
      </w:r>
      <w:hyperlink r:id="rId7">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this chapter, and </w:t>
      </w:r>
      <w:hyperlink r:id="rId8">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includes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“CARF”</w:t>
      </w:r>
      <w:r>
        <w:rPr>
          <w:rFonts w:ascii="Times New Roman" w:hAnsi="Times New Roman"/>
          <w:b w:val="false"/>
          <w:i w:val="false"/>
          <w:color w:val="000000"/>
          <w:sz w:val="22"/>
        </w:rPr>
        <w:t> </w:t>
      </w:r>
      <w:r>
        <w:rPr>
          <w:rFonts w:ascii="Times New Roman" w:hAnsi="Times New Roman"/>
          <w:b w:val="false"/>
          <w:i w:val="false"/>
          <w:color w:val="000000"/>
          <w:sz w:val="22"/>
        </w:rPr>
        <w:t>means the Commission on Accreditation of Rehabilitation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“Cognitive disorder”</w:t>
      </w:r>
      <w:r>
        <w:rPr>
          <w:rFonts w:ascii="Times New Roman" w:hAnsi="Times New Roman"/>
          <w:b w:val="false"/>
          <w:i w:val="false"/>
          <w:color w:val="000000"/>
          <w:sz w:val="22"/>
        </w:rPr>
        <w:t> </w:t>
      </w:r>
      <w:r>
        <w:rPr>
          <w:rFonts w:ascii="Times New Roman" w:hAnsi="Times New Roman"/>
          <w:b w:val="false"/>
          <w:i w:val="false"/>
          <w:color w:val="000000"/>
          <w:sz w:val="22"/>
        </w:rPr>
        <w:t>means a disorder characterized by cognitive dysfunction presumed to be the result of illness that does not meet the criteria for dementia, delirium, or amnestic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“Dementia-specific assisted living program”</w:t>
      </w:r>
      <w:r>
        <w:rPr>
          <w:rFonts w:ascii="Times New Roman" w:hAnsi="Times New Roman"/>
          <w:b w:val="false"/>
          <w:i w:val="false"/>
          <w:color w:val="000000"/>
          <w:sz w:val="22"/>
        </w:rPr>
        <w:t> </w:t>
      </w:r>
      <w:r>
        <w:rPr>
          <w:rFonts w:ascii="Times New Roman" w:hAnsi="Times New Roman"/>
          <w:b w:val="false"/>
          <w:i w:val="false"/>
          <w:color w:val="000000"/>
          <w:sz w:val="22"/>
        </w:rPr>
        <w:t>means an assisted living program certified under this chapter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Serves fewer than 55 tenants and has 5 or more tenants who have dementia between Stages 4 and 7 on the Global Deterioration Scale (GDS),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Serves 55 or more tenants and 10 percent or more of the tenants have dementia between Stages 4 and 7 on the GDS,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Holds itself out as providing specialized care for persons with dementia, such as Alzheimer’s disease, in a dedicated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 unit”</w:t>
      </w:r>
      <w:r>
        <w:rPr>
          <w:rFonts w:ascii="Times New Roman" w:hAnsi="Times New Roman"/>
          <w:b w:val="false"/>
          <w:i w:val="false"/>
          <w:color w:val="000000"/>
          <w:sz w:val="22"/>
        </w:rPr>
        <w:t> </w:t>
      </w:r>
      <w:r>
        <w:rPr>
          <w:rFonts w:ascii="Times New Roman" w:hAnsi="Times New Roman"/>
          <w:b w:val="false"/>
          <w:i w:val="false"/>
          <w:color w:val="000000"/>
          <w:sz w:val="22"/>
        </w:rPr>
        <w:t>means a single unit that provides complete, independent living facilities for one or more persons, including permanent provisions for living, sleeping and sanitation, and that may include permanent provisions for eating and cooking. “Sanitation” for purposes of this definition means bathroom fixtures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“Maximal assistance with 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routine total dependence on staff for the performance of a minimum of four activities of daily living for a period that exceeds 21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“Medically unstable”</w:t>
      </w:r>
      <w:r>
        <w:rPr>
          <w:rFonts w:ascii="Times New Roman" w:hAnsi="Times New Roman"/>
          <w:b w:val="false"/>
          <w:i w:val="false"/>
          <w:color w:val="000000"/>
          <w:sz w:val="22"/>
        </w:rPr>
        <w:t> </w:t>
      </w:r>
      <w:r>
        <w:rPr>
          <w:rFonts w:ascii="Times New Roman" w:hAnsi="Times New Roman"/>
          <w:b w:val="false"/>
          <w:i w:val="false"/>
          <w:color w:val="000000"/>
          <w:sz w:val="22"/>
        </w:rPr>
        <w:t>means that a tenant has a condition or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Indicating physiological frailty as determined by the program’s staff in consultation with a physician or physician extender;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Resulting in three or more significant hospitalizations within a consecutive three-month period for more than observation;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Requiring frequent supervision of the tenant for more than 21 days by a registered nurse. For example, a tenant who has a condition such as congestive heart failure that results in three or more significant hospitalizations during a quarter and that requires that the tenant receive frequent supervision may be considered medically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“Unmanageable incontinence”</w:t>
      </w:r>
      <w:r>
        <w:rPr>
          <w:rFonts w:ascii="Times New Roman" w:hAnsi="Times New Roman"/>
          <w:b w:val="false"/>
          <w:i w:val="false"/>
          <w:color w:val="000000"/>
          <w:sz w:val="22"/>
        </w:rPr>
        <w:t> </w:t>
      </w:r>
      <w:r>
        <w:rPr>
          <w:rFonts w:ascii="Times New Roman" w:hAnsi="Times New Roman"/>
          <w:b w:val="false"/>
          <w:i w:val="false"/>
          <w:color w:val="000000"/>
          <w:sz w:val="22"/>
        </w:rPr>
        <w:t>means a condition that requires staff provision of total care for an incontinent tenant who lacks the ability to assist in bladder or bowel continence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w:t>
      </w:r>
      <w:r>
        <w:rPr>
          <w:rFonts w:ascii="Times New Roman" w:hAnsi="Times New Roman"/>
          <w:b/>
          <w:i w:val="false"/>
          <w:color w:val="000000"/>
          <w:sz w:val="22"/>
        </w:rPr>
        <w:t xml:space="preserve">(231C) </w:t>
      </w:r>
      <w:r>
        <w:rPr>
          <w:rFonts w:ascii="Times New Roman" w:hAnsi="Times New Roman"/>
          <w:b/>
          <w:i w:val="false"/>
          <w:color w:val="000000"/>
          <w:sz w:val="22"/>
        </w:rPr>
        <w:t xml:space="preserve">Program certification. </w:t>
      </w:r>
      <w:r>
        <w:rPr>
          <w:rFonts w:ascii="Times New Roman" w:hAnsi="Times New Roman"/>
          <w:b w:val="false"/>
          <w:i w:val="false"/>
          <w:color w:val="000000"/>
          <w:sz w:val="22"/>
        </w:rPr>
        <w:t>A program may obtain certification by meeting all applicable requirements or may be voluntarily accredited by a recognized accreditation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w:t>
      </w:r>
      <w:r>
        <w:rPr>
          <w:rFonts w:ascii="Times New Roman" w:hAnsi="Times New Roman"/>
          <w:b w:val="false"/>
          <w:i w:val="false"/>
          <w:color w:val="000000"/>
          <w:sz w:val="22"/>
        </w:rPr>
        <w:t> </w:t>
      </w:r>
      <w:r>
        <w:rPr>
          <w:rFonts w:ascii="Times New Roman" w:hAnsi="Times New Roman"/>
          <w:b w:val="false"/>
          <w:i/>
          <w:color w:val="000000"/>
          <w:sz w:val="22"/>
        </w:rPr>
        <w:t xml:space="preserve">Posting requirements. </w:t>
      </w:r>
      <w:r>
        <w:rPr>
          <w:rFonts w:ascii="Times New Roman" w:hAnsi="Times New Roman"/>
          <w:b w:val="false"/>
          <w:i w:val="false"/>
          <w:color w:val="000000"/>
          <w:sz w:val="22"/>
        </w:rPr>
        <w:t xml:space="preserve">A program’s current certificate shall be visibly displayed within the designated operation area of the program. The latest monitoring report, fire safety bureau report, and food establishment inspections report issued pursuant to Iowa Code chapter </w:t>
      </w:r>
      <w:hyperlink r:id="rId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shall be made available to the public by the program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w:t>
      </w:r>
      <w:r>
        <w:rPr>
          <w:rFonts w:ascii="Times New Roman" w:hAnsi="Times New Roman"/>
          <w:b w:val="false"/>
          <w:i w:val="false"/>
          <w:color w:val="000000"/>
          <w:sz w:val="22"/>
        </w:rPr>
        <w:t> </w:t>
      </w:r>
      <w:r>
        <w:rPr>
          <w:rFonts w:ascii="Times New Roman" w:hAnsi="Times New Roman"/>
          <w:b w:val="false"/>
          <w:i/>
          <w:color w:val="000000"/>
          <w:sz w:val="22"/>
        </w:rPr>
        <w:t xml:space="preserve">Dementia-specific programs. </w:t>
      </w:r>
      <w:r>
        <w:rPr>
          <w:rFonts w:ascii="Times New Roman" w:hAnsi="Times New Roman"/>
          <w:b w:val="false"/>
          <w:i w:val="false"/>
          <w:color w:val="000000"/>
          <w:sz w:val="22"/>
        </w:rPr>
        <w:t xml:space="preserve">If a program meets the definition of a dementia-specific assisted living program during two sequential certification monitorings, the program shall meet all requirements for a dementia-specific program, including the requirements set forth in rule </w:t>
      </w:r>
      <w:hyperlink r:id="rId10">
        <w:r>
          <w:rPr>
            <w:rStyle w:val="Hyperlink"/>
            <w:rFonts w:ascii="Times New Roman" w:hAnsi="Times New Roman"/>
            <w:b w:val="false"/>
            <w:i w:val="false"/>
            <w:color w:val="000000"/>
            <w:sz w:val="22"/>
          </w:rPr>
          <w:t>481—69.30</w:t>
        </w:r>
      </w:hyperlink>
      <w:r>
        <w:rPr>
          <w:rFonts w:ascii="Times New Roman" w:hAnsi="Times New Roman"/>
          <w:b w:val="false"/>
          <w:i w:val="false"/>
          <w:color w:val="000000"/>
          <w:sz w:val="22"/>
        </w:rPr>
        <w:t xml:space="preserve">(231C); subrules </w:t>
      </w:r>
      <w:hyperlink r:id="rId11">
        <w:r>
          <w:rPr>
            <w:rStyle w:val="Hyperlink"/>
            <w:rFonts w:ascii="Times New Roman" w:hAnsi="Times New Roman"/>
            <w:b w:val="false"/>
            <w:i w:val="false"/>
            <w:color w:val="000000"/>
            <w:sz w:val="22"/>
          </w:rPr>
          <w:t>69.29(2)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69.29(4)</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69.32(2)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69.32(3)</w:t>
        </w:r>
      </w:hyperlink>
      <w:r>
        <w:rPr>
          <w:rFonts w:ascii="Times New Roman" w:hAnsi="Times New Roman"/>
          <w:b w:val="false"/>
          <w:i w:val="false"/>
          <w:color w:val="000000"/>
          <w:sz w:val="22"/>
        </w:rPr>
        <w:t xml:space="preserve">; and paragraph </w:t>
      </w:r>
      <w:hyperlink r:id="rId15">
        <w:r>
          <w:rPr>
            <w:rStyle w:val="Hyperlink"/>
            <w:rFonts w:ascii="Times New Roman" w:hAnsi="Times New Roman"/>
            <w:b w:val="false"/>
            <w:i w:val="false"/>
            <w:color w:val="000000"/>
            <w:sz w:val="22"/>
          </w:rPr>
          <w:t>69.35(1)</w:t>
        </w:r>
      </w:hyperlink>
      <w:r>
        <w:rPr>
          <w:rFonts w:ascii="Times New Roman" w:hAnsi="Times New Roman"/>
          <w:b w:val="false"/>
          <w:i/>
          <w:color w:val="000000"/>
          <w:sz w:val="22"/>
        </w:rPr>
        <w:t>“d,”</w:t>
      </w:r>
      <w:r>
        <w:rPr>
          <w:rFonts w:ascii="Times New Roman" w:hAnsi="Times New Roman"/>
          <w:b w:val="false"/>
          <w:i w:val="false"/>
          <w:color w:val="000000"/>
          <w:sz w:val="22"/>
        </w:rPr>
        <w:t xml:space="preserve"> within 90 days of receiving the final report from the second sequential certification monitoring. If the number of tenants served who have dementia between Stages 4 and 7 on the GDS goes below that which is required by the definition of dementia-specific program at any time after the program has been deemed dementia-specific by definition and the program is not holding itself out as providing dementia care in a specialized setting, the program will no longer be considered dementia-specific.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w:t>
      </w:r>
      <w:r>
        <w:rPr>
          <w:rFonts w:ascii="Times New Roman" w:hAnsi="Times New Roman"/>
          <w:b/>
          <w:i w:val="false"/>
          <w:color w:val="000000"/>
          <w:sz w:val="22"/>
        </w:rPr>
        <w:t xml:space="preserve">(231C) </w:t>
      </w:r>
      <w:r>
        <w:rPr>
          <w:rFonts w:ascii="Times New Roman" w:hAnsi="Times New Roman"/>
          <w:b/>
          <w:i w:val="false"/>
          <w:color w:val="000000"/>
          <w:sz w:val="22"/>
        </w:rPr>
        <w:t xml:space="preserve">Certification of a nonaccredited program—application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complete an application packet obtained from the department’s health facilities division website at </w:t>
      </w:r>
      <w:hyperlink r:id="rId16">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Appeals, and Licensing, Adult Services Bureau, 6200 Park Avenue, Des Moines, Iowa 50321; or by telephone at 515.381.7272.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one copy of the completed application and all supporting documentation to the department at least 90 calendar days prior to the expected date of beginning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481—69.4</w:t>
      </w:r>
      <w:r>
        <w:rPr>
          <w:rFonts w:ascii="Times New Roman" w:hAnsi="Times New Roman"/>
          <w:b/>
          <w:i w:val="false"/>
          <w:color w:val="000000"/>
          <w:sz w:val="22"/>
        </w:rPr>
        <w:t xml:space="preserve">(231C) </w:t>
      </w:r>
      <w:r>
        <w:rPr>
          <w:rFonts w:ascii="Times New Roman" w:hAnsi="Times New Roman"/>
          <w:b/>
          <w:i w:val="false"/>
          <w:color w:val="000000"/>
          <w:sz w:val="22"/>
        </w:rPr>
        <w:t xml:space="preserve">Nonaccredited program—application content. </w:t>
      </w:r>
      <w:r>
        <w:rPr>
          <w:rFonts w:ascii="Times New Roman" w:hAnsi="Times New Roman"/>
          <w:b w:val="false"/>
          <w:i w:val="false"/>
          <w:color w:val="000000"/>
          <w:sz w:val="22"/>
        </w:rPr>
        <w:t>An application for certification or recertification of a nonaccredited program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percentage of stock, shares, partnership or other equity interest of all officers, members of the board of directors and trustees, as well as stockholders, partners or any individuals who have greater than a 10 percent equity interest in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real estate owner or lessor;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management company responsible for the day-to-day operation of the program.</w:t>
      </w:r>
    </w:p>
    <w:p>
      <w:pPr>
        <w:spacing w:before="0" w:after="0"/>
        <w:ind w:left="120"/>
        <w:jc w:val="both"/>
      </w:pPr>
      <w:r>
        <w:rPr>
          <w:rFonts w:ascii="Times New Roman" w:hAnsi="Times New Roman"/>
          <w:b w:val="false"/>
          <w:i w:val="false"/>
          <w:color w:val="000000"/>
          <w:sz w:val="22"/>
        </w:rPr>
        <w:t>The program will notify the department of any changes in the list no later than ten working days after the 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the individuals listed in subrule </w:t>
      </w:r>
      <w:hyperlink r:id="rId17">
        <w:r>
          <w:rPr>
            <w:rStyle w:val="Hyperlink"/>
            <w:rFonts w:ascii="Times New Roman" w:hAnsi="Times New Roman"/>
            <w:b w:val="false"/>
            <w:i w:val="false"/>
            <w:color w:val="000000"/>
            <w:sz w:val="22"/>
          </w:rPr>
          <w:t>69.4(1)</w:t>
        </w:r>
      </w:hyperlink>
      <w:r>
        <w:rPr>
          <w:rFonts w:ascii="Times New Roman" w:hAnsi="Times New Roman"/>
          <w:b w:val="false"/>
          <w:i w:val="false"/>
          <w:color w:val="000000"/>
          <w:sz w:val="22"/>
        </w:rPr>
        <w:t xml:space="preserve"> have been convicted of a felony or an aggravated or serious misdemeanor or found to be in violation of the child abuse or dependent adult abuse laws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any of the individuals listed in subrule </w:t>
      </w:r>
      <w:hyperlink r:id="rId18">
        <w:r>
          <w:rPr>
            <w:rStyle w:val="Hyperlink"/>
            <w:rFonts w:ascii="Times New Roman" w:hAnsi="Times New Roman"/>
            <w:b w:val="false"/>
            <w:i w:val="false"/>
            <w:color w:val="000000"/>
            <w:sz w:val="22"/>
          </w:rPr>
          <w:t>69.4(1)</w:t>
        </w:r>
      </w:hyperlink>
      <w:r>
        <w:rPr>
          <w:rFonts w:ascii="Times New Roman" w:hAnsi="Times New Roman"/>
          <w:b w:val="false"/>
          <w:i w:val="false"/>
          <w:color w:val="000000"/>
          <w:sz w:val="22"/>
        </w:rPr>
        <w:t xml:space="preserve"> meet the criteria set out in Iowa Code section </w:t>
      </w:r>
      <w:hyperlink r:id="rId19">
        <w:r>
          <w:rPr>
            <w:rStyle w:val="Hyperlink"/>
            <w:rFonts w:ascii="Times New Roman" w:hAnsi="Times New Roman"/>
            <w:b w:val="false"/>
            <w:i w:val="false"/>
            <w:color w:val="000000"/>
            <w:sz w:val="22"/>
          </w:rPr>
          <w:t>231C.10(1)</w:t>
        </w:r>
      </w:hyperlink>
      <w:r>
        <w:rPr>
          <w:rFonts w:ascii="Times New Roman" w:hAnsi="Times New Roman"/>
          <w:b w:val="false"/>
          <w:i/>
          <w:color w:val="000000"/>
          <w:sz w:val="22"/>
        </w:rPr>
        <w:t>“g,”</w:t>
      </w:r>
      <w:r>
        <w:rPr>
          <w:rFonts w:ascii="Times New Roman" w:hAnsi="Times New Roman"/>
          <w:b w:val="false"/>
          <w:i w:val="false"/>
          <w:color w:val="000000"/>
          <w:sz w:val="22"/>
        </w:rPr>
        <w:t xml:space="preserve"> including for licensed health care facility as defined in Iowa Code section </w:t>
      </w:r>
      <w:hyperlink r:id="rId20">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licensed hospital as defined in Iowa Code section </w:t>
      </w:r>
      <w:hyperlink r:id="rId21">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69.4(4)</w:t>
      </w:r>
      <w:r>
        <w:rPr>
          <w:rFonts w:ascii="Times New Roman" w:hAnsi="Times New Roman"/>
          <w:b w:val="false"/>
          <w:i w:val="false"/>
          <w:color w:val="000000"/>
          <w:sz w:val="22"/>
        </w:rPr>
        <w:t> </w:t>
      </w:r>
      <w:r>
        <w:rPr>
          <w:rFonts w:ascii="Times New Roman" w:hAnsi="Times New Roman"/>
          <w:b w:val="false"/>
          <w:i w:val="false"/>
          <w:color w:val="000000"/>
          <w:sz w:val="22"/>
        </w:rPr>
        <w:t>The tenant occupancy agreement and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69.4(5)</w:t>
      </w:r>
      <w:r>
        <w:rPr>
          <w:rFonts w:ascii="Times New Roman" w:hAnsi="Times New Roman"/>
          <w:b w:val="false"/>
          <w:i w:val="false"/>
          <w:color w:val="000000"/>
          <w:sz w:val="22"/>
        </w:rPr>
        <w:t> </w:t>
      </w:r>
      <w:r>
        <w:rPr>
          <w:rFonts w:ascii="Times New Roman" w:hAnsi="Times New Roman"/>
          <w:b w:val="false"/>
          <w:i w:val="false"/>
          <w:color w:val="000000"/>
          <w:sz w:val="22"/>
        </w:rPr>
        <w:t>If the program contracts for personal care or health-related care services from a certified home health agency, a mental health center or a licensed health care facility, a copy of that entity’s current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69.4(6)</w:t>
      </w:r>
      <w:r>
        <w:rPr>
          <w:rFonts w:ascii="Times New Roman" w:hAnsi="Times New Roman"/>
          <w:b w:val="false"/>
          <w:i w:val="false"/>
          <w:color w:val="000000"/>
          <w:sz w:val="22"/>
        </w:rPr>
        <w:t> </w:t>
      </w:r>
      <w:r>
        <w:rPr>
          <w:rFonts w:ascii="Times New Roman" w:hAnsi="Times New Roman"/>
          <w:b w:val="false"/>
          <w:i w:val="false"/>
          <w:color w:val="000000"/>
          <w:sz w:val="22"/>
        </w:rPr>
        <w:t>A copy of the state license for the entity that provides food service, whether the entity is the program or an outside entity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set forth in Iowa Code section </w:t>
      </w:r>
      <w:hyperlink r:id="rId22">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481—69.5</w:t>
      </w:r>
      <w:r>
        <w:rPr>
          <w:rFonts w:ascii="Times New Roman" w:hAnsi="Times New Roman"/>
          <w:b/>
          <w:i w:val="false"/>
          <w:color w:val="000000"/>
          <w:sz w:val="22"/>
        </w:rPr>
        <w:t xml:space="preserve">(231C) </w:t>
      </w:r>
      <w:r>
        <w:rPr>
          <w:rFonts w:ascii="Times New Roman" w:hAnsi="Times New Roman"/>
          <w:b/>
          <w:i w:val="false"/>
          <w:color w:val="000000"/>
          <w:sz w:val="22"/>
        </w:rPr>
        <w:t xml:space="preserve">Initial certification process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69.5(1)</w:t>
      </w:r>
      <w:r>
        <w:rPr>
          <w:rFonts w:ascii="Times New Roman" w:hAnsi="Times New Roman"/>
          <w:b w:val="false"/>
          <w:i w:val="false"/>
          <w:color w:val="000000"/>
          <w:sz w:val="22"/>
        </w:rPr>
        <w:t> </w:t>
      </w:r>
      <w:r>
        <w:rPr>
          <w:rFonts w:ascii="Times New Roman" w:hAnsi="Times New Roman"/>
          <w:b w:val="false"/>
          <w:i w:val="false"/>
          <w:color w:val="000000"/>
          <w:sz w:val="22"/>
        </w:rPr>
        <w:t>Upon receipt of all completed documentation, including building code and fire safety bureau approval and structural and evacuation review approval, the department will determine whether the proposed program meets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the proposed program meets the requirements for certification, a provisional certification will be issued to the program to begin operation and accept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69.5(3)</w:t>
      </w:r>
      <w:r>
        <w:rPr>
          <w:rFonts w:ascii="Times New Roman" w:hAnsi="Times New Roman"/>
          <w:b w:val="false"/>
          <w:i w:val="false"/>
          <w:color w:val="000000"/>
          <w:sz w:val="22"/>
        </w:rPr>
        <w:t> </w:t>
      </w:r>
      <w:r>
        <w:rPr>
          <w:rFonts w:ascii="Times New Roman" w:hAnsi="Times New Roman"/>
          <w:b w:val="false"/>
          <w:i w:val="false"/>
          <w:color w:val="000000"/>
          <w:sz w:val="22"/>
        </w:rPr>
        <w:t>Within 180 calendar days following issuance of provisional certification, the department will conduct a monitoring to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regulatory insufficiency is identified as a result of the monitoring, the process in rule </w:t>
      </w:r>
      <w:hyperlink r:id="rId23">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(17A,231B,231C,231D)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69.5(5)</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 final certification decision based on the results of the monitoring and review of an acceptable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69.5(6)</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program of a final certification decision within ten working days following the finalization of the monitoring report or receipt of an acceptable plan of correction,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69.5(7)</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continue certification, the department will issue a full two-year certification effective from the date of the original provisional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481—69.6</w:t>
      </w:r>
      <w:r>
        <w:rPr>
          <w:rFonts w:ascii="Times New Roman" w:hAnsi="Times New Roman"/>
          <w:b/>
          <w:i w:val="false"/>
          <w:color w:val="000000"/>
          <w:sz w:val="22"/>
        </w:rPr>
        <w:t xml:space="preserve">(231C) </w:t>
      </w:r>
      <w:r>
        <w:rPr>
          <w:rFonts w:ascii="Times New Roman" w:hAnsi="Times New Roman"/>
          <w:b/>
          <w:i w:val="false"/>
          <w:color w:val="000000"/>
          <w:sz w:val="22"/>
        </w:rPr>
        <w:t xml:space="preserve">Expiration of the certification of a nonaccredited program. </w:t>
      </w:r>
      <w:r>
        <w:rPr>
          <w:rFonts w:ascii="Times New Roman" w:hAnsi="Times New Roman"/>
          <w:b w:val="false"/>
          <w:i w:val="false"/>
          <w:color w:val="000000"/>
          <w:sz w:val="22"/>
        </w:rPr>
        <w:t>Unless conditionally issued, suspended or revoked, certification of a program will expire at the end of the time period specified on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481—69.7</w:t>
      </w:r>
      <w:r>
        <w:rPr>
          <w:rFonts w:ascii="Times New Roman" w:hAnsi="Times New Roman"/>
          <w:b/>
          <w:i w:val="false"/>
          <w:color w:val="000000"/>
          <w:sz w:val="22"/>
        </w:rPr>
        <w:t xml:space="preserve">(231C) </w:t>
      </w:r>
      <w:r>
        <w:rPr>
          <w:rFonts w:ascii="Times New Roman" w:hAnsi="Times New Roman"/>
          <w:b/>
          <w:i w:val="false"/>
          <w:color w:val="000000"/>
          <w:sz w:val="22"/>
        </w:rPr>
        <w:t xml:space="preserve">Recertification process for a nonaccredited program. </w:t>
      </w:r>
      <w:r>
        <w:rPr>
          <w:rFonts w:ascii="Times New Roman" w:hAnsi="Times New Roman"/>
          <w:b w:val="false"/>
          <w:i w:val="false"/>
          <w:color w:val="000000"/>
          <w:sz w:val="22"/>
        </w:rPr>
        <w:t>To obtain recertification, a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one copy of the completed application, associated documentation, and the recertification fee as listed in Iowa Code section </w:t>
      </w:r>
      <w:hyperlink r:id="rId24">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 xml:space="preserve"> to the department at least 30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69.7(2)</w:t>
      </w:r>
      <w:r>
        <w:rPr>
          <w:rFonts w:ascii="Times New Roman" w:hAnsi="Times New Roman"/>
          <w:b w:val="false"/>
          <w:i w:val="false"/>
          <w:color w:val="000000"/>
          <w:sz w:val="22"/>
        </w:rPr>
        <w:t> </w:t>
      </w:r>
      <w:r>
        <w:rPr>
          <w:rFonts w:ascii="Times New Roman" w:hAnsi="Times New Roman"/>
          <w:b w:val="false"/>
          <w:i w:val="false"/>
          <w:color w:val="000000"/>
          <w:sz w:val="22"/>
        </w:rPr>
        <w:t>Submit additional documentation that each of the following has been inspected by a qualified professional and found to be maintained in conformance with the manufacturer’s recommendations and nationally recognized standards: heating system, cooling system, water heater, electrical system, plumbing, sewage system, artificial lighting, and ventilation system and, if located on site, garbage disposal, kitchen appliances, washing machines and dryers, and elevators.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481—69.8</w:t>
      </w:r>
      <w:r>
        <w:rPr>
          <w:rFonts w:ascii="Times New Roman" w:hAnsi="Times New Roman"/>
          <w:b/>
          <w:i w:val="false"/>
          <w:color w:val="000000"/>
          <w:sz w:val="22"/>
        </w:rPr>
        <w:t xml:space="preserve">(231C) </w:t>
      </w:r>
      <w:r>
        <w:rPr>
          <w:rFonts w:ascii="Times New Roman" w:hAnsi="Times New Roman"/>
          <w:b/>
          <w:i w:val="false"/>
          <w:color w:val="000000"/>
          <w:sz w:val="22"/>
        </w:rPr>
        <w:t xml:space="preserve">Notification of recertification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and associated documentation and fees. After all finalized documentation is received, including building code and fire safety bureau approval, the department will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69.8(2)</w:t>
      </w:r>
      <w:r>
        <w:rPr>
          <w:rFonts w:ascii="Times New Roman" w:hAnsi="Times New Roman"/>
          <w:b w:val="false"/>
          <w:i w:val="false"/>
          <w:color w:val="000000"/>
          <w:sz w:val="22"/>
        </w:rPr>
        <w:t> </w:t>
      </w:r>
      <w:r>
        <w:rPr>
          <w:rFonts w:ascii="Times New Roman" w:hAnsi="Times New Roman"/>
          <w:b w:val="false"/>
          <w:i w:val="false"/>
          <w:color w:val="000000"/>
          <w:sz w:val="22"/>
        </w:rPr>
        <w:t>If the facility is in good standing, the department will issue the program a two-year certification effective from the date of the expiration of the previous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481—69.9</w:t>
      </w:r>
      <w:r>
        <w:rPr>
          <w:rFonts w:ascii="Times New Roman" w:hAnsi="Times New Roman"/>
          <w:b/>
          <w:i w:val="false"/>
          <w:color w:val="000000"/>
          <w:sz w:val="22"/>
        </w:rPr>
        <w:t xml:space="preserve">(231C) </w:t>
      </w:r>
      <w:r>
        <w:rPr>
          <w:rFonts w:ascii="Times New Roman" w:hAnsi="Times New Roman"/>
          <w:b/>
          <w:i w:val="false"/>
          <w:color w:val="000000"/>
          <w:sz w:val="22"/>
        </w:rPr>
        <w:t xml:space="preserve">Certification or recertification of an accredited program—application process. </w:t>
      </w:r>
      <w:r>
        <w:rPr>
          <w:rFonts w:ascii="Times New Roman" w:hAnsi="Times New Roman"/>
          <w:b w:val="false"/>
          <w:i w:val="false"/>
          <w:color w:val="000000"/>
          <w:sz w:val="22"/>
        </w:rPr>
        <w:t>An applicant for certification or recertification of a program accredited by a recognized accrediting entity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packet obtained from the department health facilities division website at </w:t>
      </w:r>
      <w:hyperlink r:id="rId25">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Appeals, and Licensing, Adult Services Bureau, 6200 Park Avenue, Des Moines, Iowa 50321; or by telephone at 515.281.7272.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69.9(2)</w:t>
      </w:r>
      <w:r>
        <w:rPr>
          <w:rFonts w:ascii="Times New Roman" w:hAnsi="Times New Roman"/>
          <w:b w:val="false"/>
          <w:i w:val="false"/>
          <w:color w:val="000000"/>
          <w:sz w:val="22"/>
        </w:rPr>
        <w:t> </w:t>
      </w:r>
      <w:r>
        <w:rPr>
          <w:rFonts w:ascii="Times New Roman" w:hAnsi="Times New Roman"/>
          <w:b w:val="false"/>
          <w:i w:val="false"/>
          <w:color w:val="000000"/>
          <w:sz w:val="22"/>
        </w:rPr>
        <w:t>Submit a copy of the current accreditation outcome from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69.9(3)</w:t>
      </w:r>
      <w:r>
        <w:rPr>
          <w:rFonts w:ascii="Times New Roman" w:hAnsi="Times New Roman"/>
          <w:b w:val="false"/>
          <w:i w:val="false"/>
          <w:color w:val="000000"/>
          <w:sz w:val="22"/>
        </w:rPr>
        <w:t> </w:t>
      </w:r>
      <w:r>
        <w:rPr>
          <w:rFonts w:ascii="Times New Roman" w:hAnsi="Times New Roman"/>
          <w:b w:val="false"/>
          <w:i w:val="false"/>
          <w:color w:val="000000"/>
          <w:sz w:val="22"/>
        </w:rPr>
        <w:t>Maintain compliance with the building code and fire safety bureau’s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appropriate fees as set forth in Iowa Code section </w:t>
      </w:r>
      <w:hyperlink r:id="rId26">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481—69.10</w:t>
      </w:r>
      <w:r>
        <w:rPr>
          <w:rFonts w:ascii="Times New Roman" w:hAnsi="Times New Roman"/>
          <w:b/>
          <w:i w:val="false"/>
          <w:color w:val="000000"/>
          <w:sz w:val="22"/>
        </w:rPr>
        <w:t xml:space="preserve">(231C) </w:t>
      </w:r>
      <w:r>
        <w:rPr>
          <w:rFonts w:ascii="Times New Roman" w:hAnsi="Times New Roman"/>
          <w:b/>
          <w:i w:val="false"/>
          <w:color w:val="000000"/>
          <w:sz w:val="22"/>
        </w:rPr>
        <w:t xml:space="preserve">Certification or recertification of an accredited program—application content. </w:t>
      </w:r>
      <w:r>
        <w:rPr>
          <w:rFonts w:ascii="Times New Roman" w:hAnsi="Times New Roman"/>
          <w:b w:val="false"/>
          <w:i w:val="false"/>
          <w:color w:val="000000"/>
          <w:sz w:val="22"/>
        </w:rPr>
        <w:t xml:space="preserve">An application for certification or recertification of an accredited program shall comply with rule </w:t>
      </w:r>
      <w:hyperlink r:id="rId27">
        <w:r>
          <w:rPr>
            <w:rStyle w:val="Hyperlink"/>
            <w:rFonts w:ascii="Times New Roman" w:hAnsi="Times New Roman"/>
            <w:b w:val="false"/>
            <w:i w:val="false"/>
            <w:color w:val="000000"/>
            <w:sz w:val="22"/>
          </w:rPr>
          <w:t>481—69.3</w:t>
        </w:r>
      </w:hyperlink>
      <w:r>
        <w:rPr>
          <w:rFonts w:ascii="Times New Roman" w:hAnsi="Times New Roman"/>
          <w:b w:val="false"/>
          <w:i w:val="false"/>
          <w:color w:val="000000"/>
          <w:sz w:val="22"/>
        </w:rPr>
        <w:t>(231C) and include a copy of the current accreditation outcome from the recognized accrediting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481—69.11</w:t>
      </w:r>
      <w:r>
        <w:rPr>
          <w:rFonts w:ascii="Times New Roman" w:hAnsi="Times New Roman"/>
          <w:b/>
          <w:i w:val="false"/>
          <w:color w:val="000000"/>
          <w:sz w:val="22"/>
        </w:rPr>
        <w:t xml:space="preserve">(231C) </w:t>
      </w:r>
      <w:r>
        <w:rPr>
          <w:rFonts w:ascii="Times New Roman" w:hAnsi="Times New Roman"/>
          <w:b/>
          <w:i w:val="false"/>
          <w:color w:val="000000"/>
          <w:sz w:val="22"/>
        </w:rPr>
        <w:t xml:space="preserve">Initial 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69.11(1)</w:t>
      </w:r>
      <w:r>
        <w:rPr>
          <w:rFonts w:ascii="Times New Roman" w:hAnsi="Times New Roman"/>
          <w:b w:val="false"/>
          <w:i w:val="false"/>
          <w:color w:val="000000"/>
          <w:sz w:val="22"/>
        </w:rPr>
        <w:t> </w:t>
      </w:r>
      <w:r>
        <w:rPr>
          <w:rFonts w:ascii="Times New Roman" w:hAnsi="Times New Roman"/>
          <w:b w:val="false"/>
          <w:i w:val="false"/>
          <w:color w:val="000000"/>
          <w:sz w:val="22"/>
        </w:rPr>
        <w:t>Within 20 working days of receiving all finalized documentation, including building code and fire safety bureau approval, the department will notify the accredited program whether the program meets applicable requirements and whether certification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69.11(2)</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certify, a certification will be issued for the term of the accreditation not to exceed three years unless the certification is conditionally issued, suspended or revoked by either the department or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certification, the department will provide the applicant an opportunity for hearing in accordance with rule </w:t>
      </w:r>
      <w:hyperlink r:id="rId28">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69.11(4)</w:t>
      </w:r>
      <w:r>
        <w:rPr>
          <w:rFonts w:ascii="Times New Roman" w:hAnsi="Times New Roman"/>
          <w:b w:val="false"/>
          <w:i w:val="false"/>
          <w:color w:val="000000"/>
          <w:sz w:val="22"/>
        </w:rPr>
        <w:t> </w:t>
      </w:r>
      <w:r>
        <w:rPr>
          <w:rFonts w:ascii="Times New Roman" w:hAnsi="Times New Roman"/>
          <w:b w:val="false"/>
          <w:i w:val="false"/>
          <w:color w:val="000000"/>
          <w:sz w:val="22"/>
        </w:rPr>
        <w:t>Unless conditionally issued, suspended or revoked, certification for a program will expire at the end of the time period specified on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481—69.12</w:t>
      </w:r>
      <w:r>
        <w:rPr>
          <w:rFonts w:ascii="Times New Roman" w:hAnsi="Times New Roman"/>
          <w:b/>
          <w:i w:val="false"/>
          <w:color w:val="000000"/>
          <w:sz w:val="22"/>
        </w:rPr>
        <w:t xml:space="preserve">(231C) </w:t>
      </w:r>
      <w:r>
        <w:rPr>
          <w:rFonts w:ascii="Times New Roman" w:hAnsi="Times New Roman"/>
          <w:b/>
          <w:i w:val="false"/>
          <w:color w:val="000000"/>
          <w:sz w:val="22"/>
        </w:rPr>
        <w:t xml:space="preserve">Recertification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recertification, an accredited program shall comply with rule </w:t>
      </w:r>
      <w:hyperlink r:id="rId29">
        <w:r>
          <w:rPr>
            <w:rStyle w:val="Hyperlink"/>
            <w:rFonts w:ascii="Times New Roman" w:hAnsi="Times New Roman"/>
            <w:b w:val="false"/>
            <w:i w:val="false"/>
            <w:color w:val="000000"/>
            <w:sz w:val="22"/>
          </w:rPr>
          <w:t>481—69.9</w:t>
        </w:r>
      </w:hyperlink>
      <w:r>
        <w:rPr>
          <w:rFonts w:ascii="Times New Roman" w:hAnsi="Times New Roman"/>
          <w:b w:val="false"/>
          <w:i w:val="false"/>
          <w:color w:val="000000"/>
          <w:sz w:val="22"/>
        </w:rPr>
        <w:t>(231C) at least 30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69.12(2)</w:t>
      </w:r>
      <w:r>
        <w:rPr>
          <w:rFonts w:ascii="Times New Roman" w:hAnsi="Times New Roman"/>
          <w:b w:val="false"/>
          <w:i w:val="false"/>
          <w:color w:val="000000"/>
          <w:sz w:val="22"/>
        </w:rPr>
        <w:t> </w:t>
      </w:r>
      <w:r>
        <w:rPr>
          <w:rFonts w:ascii="Times New Roman" w:hAnsi="Times New Roman"/>
          <w:b w:val="false"/>
          <w:i w:val="false"/>
          <w:color w:val="000000"/>
          <w:sz w:val="22"/>
        </w:rPr>
        <w:t>If the facility is in good standing, a full certification will be issued for the term of the accreditation not to exceed three years unless the certification is conditionally issued, suspended or revoked by either the department or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recertification, the department will provide the applicant an opportunity for hearing in accordance with rule </w:t>
      </w:r>
      <w:hyperlink r:id="rId30">
        <w:r>
          <w:rPr>
            <w:rStyle w:val="Hyperlink"/>
            <w:rFonts w:ascii="Times New Roman" w:hAnsi="Times New Roman"/>
            <w:b w:val="false"/>
            <w:i w:val="false"/>
            <w:color w:val="000000"/>
            <w:sz w:val="22"/>
          </w:rPr>
          <w:t>481—67.14</w:t>
        </w:r>
      </w:hyperlink>
      <w:r>
        <w:rPr>
          <w:rFonts w:ascii="Times New Roman" w:hAnsi="Times New Roman"/>
          <w:b w:val="false"/>
          <w:i w:val="false"/>
          <w:color w:val="000000"/>
          <w:sz w:val="22"/>
        </w:rPr>
        <w:t>(17A,231B,231C,231D).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481—69.13</w:t>
      </w:r>
      <w:r>
        <w:rPr>
          <w:rFonts w:ascii="Times New Roman" w:hAnsi="Times New Roman"/>
          <w:b/>
          <w:i w:val="false"/>
          <w:color w:val="000000"/>
          <w:sz w:val="22"/>
        </w:rPr>
        <w:t xml:space="preserve">(231C) </w:t>
      </w:r>
      <w:r>
        <w:rPr>
          <w:rFonts w:ascii="Times New Roman" w:hAnsi="Times New Roman"/>
          <w:b/>
          <w:i w:val="false"/>
          <w:color w:val="000000"/>
          <w:sz w:val="22"/>
        </w:rPr>
        <w:t xml:space="preserve">Listing of all certified programs. </w:t>
      </w:r>
      <w:r>
        <w:rPr>
          <w:rFonts w:ascii="Times New Roman" w:hAnsi="Times New Roman"/>
          <w:b w:val="false"/>
          <w:i w:val="false"/>
          <w:color w:val="000000"/>
          <w:sz w:val="22"/>
        </w:rPr>
        <w:t xml:space="preserve">The department will maintain a list of all certified programs, which is available online at </w:t>
      </w:r>
      <w:hyperlink r:id="rId31">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481—69.14</w:t>
      </w:r>
      <w:r>
        <w:rPr>
          <w:rFonts w:ascii="Times New Roman" w:hAnsi="Times New Roman"/>
          <w:b/>
          <w:i w:val="false"/>
          <w:color w:val="000000"/>
          <w:sz w:val="22"/>
        </w:rPr>
        <w:t xml:space="preserve">(231C) </w:t>
      </w:r>
      <w:r>
        <w:rPr>
          <w:rFonts w:ascii="Times New Roman" w:hAnsi="Times New Roman"/>
          <w:b/>
          <w:i w:val="false"/>
          <w:color w:val="000000"/>
          <w:sz w:val="22"/>
        </w:rPr>
        <w:t xml:space="preserve">Recognized accrediting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69.14(1)</w:t>
      </w:r>
      <w:r>
        <w:rPr>
          <w:rFonts w:ascii="Times New Roman" w:hAnsi="Times New Roman"/>
          <w:b w:val="false"/>
          <w:i w:val="false"/>
          <w:color w:val="000000"/>
          <w:sz w:val="22"/>
        </w:rPr>
        <w:t> </w:t>
      </w:r>
      <w:r>
        <w:rPr>
          <w:rFonts w:ascii="Times New Roman" w:hAnsi="Times New Roman"/>
          <w:b w:val="false"/>
          <w:i w:val="false"/>
          <w:color w:val="000000"/>
          <w:sz w:val="22"/>
        </w:rPr>
        <w:t>The department designates CARF as a recognized accrediting entity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69.14(2)</w:t>
      </w:r>
      <w:r>
        <w:rPr>
          <w:rFonts w:ascii="Times New Roman" w:hAnsi="Times New Roman"/>
          <w:b w:val="false"/>
          <w:i w:val="false"/>
          <w:color w:val="000000"/>
          <w:sz w:val="22"/>
        </w:rPr>
        <w:t> </w:t>
      </w:r>
      <w:r>
        <w:rPr>
          <w:rFonts w:ascii="Times New Roman" w:hAnsi="Times New Roman"/>
          <w:b w:val="false"/>
          <w:i w:val="false"/>
          <w:color w:val="000000"/>
          <w:sz w:val="22"/>
        </w:rPr>
        <w:t>To apply for designation by the department as a recognized accrediting entity for programs, an entity shall submit a letter of request, and its standards shall meet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69.14(3)</w:t>
      </w:r>
      <w:r>
        <w:rPr>
          <w:rFonts w:ascii="Times New Roman" w:hAnsi="Times New Roman"/>
          <w:b w:val="false"/>
          <w:i w:val="false"/>
          <w:color w:val="000000"/>
          <w:sz w:val="22"/>
        </w:rPr>
        <w:t> </w:t>
      </w:r>
      <w:r>
        <w:rPr>
          <w:rFonts w:ascii="Times New Roman" w:hAnsi="Times New Roman"/>
          <w:b w:val="false"/>
          <w:i w:val="false"/>
          <w:color w:val="000000"/>
          <w:sz w:val="22"/>
        </w:rPr>
        <w:t>The designation will remain in effect for as long as the accreditation standards meet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69.14(4)</w:t>
      </w:r>
      <w:r>
        <w:rPr>
          <w:rFonts w:ascii="Times New Roman" w:hAnsi="Times New Roman"/>
          <w:b w:val="false"/>
          <w:i w:val="false"/>
          <w:color w:val="000000"/>
          <w:sz w:val="22"/>
        </w:rPr>
        <w:t> </w:t>
      </w:r>
      <w:r>
        <w:rPr>
          <w:rFonts w:ascii="Times New Roman" w:hAnsi="Times New Roman"/>
          <w:b w:val="false"/>
          <w:i w:val="false"/>
          <w:color w:val="000000"/>
          <w:sz w:val="22"/>
        </w:rPr>
        <w:t>An accrediting entity shall provide annually to the department, at no cost, a current edition of the applicable standards manual and survey preparation guide, and training thereon, within 120 working days after the publications are released.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481—69.15</w:t>
      </w:r>
      <w:r>
        <w:rPr>
          <w:rFonts w:ascii="Times New Roman" w:hAnsi="Times New Roman"/>
          <w:b/>
          <w:i w:val="false"/>
          <w:color w:val="000000"/>
          <w:sz w:val="22"/>
        </w:rPr>
        <w:t xml:space="preserve">(231C) </w:t>
      </w:r>
      <w:r>
        <w:rPr>
          <w:rFonts w:ascii="Times New Roman" w:hAnsi="Times New Roman"/>
          <w:b/>
          <w:i w:val="false"/>
          <w:color w:val="000000"/>
          <w:sz w:val="22"/>
        </w:rPr>
        <w:t xml:space="preserve">Requirements for an accredited program. </w:t>
      </w:r>
      <w:r>
        <w:rPr>
          <w:rFonts w:ascii="Times New Roman" w:hAnsi="Times New Roman"/>
          <w:b w:val="false"/>
          <w:i w:val="false"/>
          <w:color w:val="000000"/>
          <w:sz w:val="22"/>
        </w:rPr>
        <w:t>Each accredited program that is certified by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69.15(1)</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a copy of all survey reports, including outcomes, quality improvement plans and annual conformance to quality reports generated or received, as applicable, within ten working days of receipt of the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69.15(2)</w:t>
      </w:r>
      <w:r>
        <w:rPr>
          <w:rFonts w:ascii="Times New Roman" w:hAnsi="Times New Roman"/>
          <w:b w:val="false"/>
          <w:i w:val="false"/>
          <w:color w:val="000000"/>
          <w:sz w:val="22"/>
        </w:rPr>
        <w:t> </w:t>
      </w:r>
      <w:r>
        <w:rPr>
          <w:rFonts w:ascii="Times New Roman" w:hAnsi="Times New Roman"/>
          <w:b w:val="false"/>
          <w:i w:val="false"/>
          <w:color w:val="000000"/>
          <w:sz w:val="22"/>
        </w:rPr>
        <w:t>Notify the department by the most expeditious means possible of all credible reports of alleged improper or inappropriate conduct or conditions within the program and any actions taken by the accrediting entity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69.15(3)</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immediately of the expiration, suspension, revocation or other loss of the program’s accreditation.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481—69.16</w:t>
      </w:r>
      <w:r>
        <w:rPr>
          <w:rFonts w:ascii="Times New Roman" w:hAnsi="Times New Roman"/>
          <w:b/>
          <w:i w:val="false"/>
          <w:color w:val="000000"/>
          <w:sz w:val="22"/>
        </w:rPr>
        <w:t xml:space="preserve">(231C) </w:t>
      </w:r>
      <w:r>
        <w:rPr>
          <w:rFonts w:ascii="Times New Roman" w:hAnsi="Times New Roman"/>
          <w:b/>
          <w:i w:val="false"/>
          <w:color w:val="000000"/>
          <w:sz w:val="22"/>
        </w:rPr>
        <w:t xml:space="preserve">Maintenance of program accreditation.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69.16(1)</w:t>
      </w:r>
      <w:r>
        <w:rPr>
          <w:rFonts w:ascii="Times New Roman" w:hAnsi="Times New Roman"/>
          <w:b w:val="false"/>
          <w:i w:val="false"/>
          <w:color w:val="000000"/>
          <w:sz w:val="22"/>
        </w:rPr>
        <w:t> </w:t>
      </w:r>
      <w:r>
        <w:rPr>
          <w:rFonts w:ascii="Times New Roman" w:hAnsi="Times New Roman"/>
          <w:b w:val="false"/>
          <w:i w:val="false"/>
          <w:color w:val="000000"/>
          <w:sz w:val="22"/>
        </w:rPr>
        <w:t>An accredited program will continue to be recognized for certification by the department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complies with the requirements outlined in rule </w:t>
      </w:r>
      <w:hyperlink r:id="rId32">
        <w:r>
          <w:rPr>
            <w:rStyle w:val="Hyperlink"/>
            <w:rFonts w:ascii="Times New Roman" w:hAnsi="Times New Roman"/>
            <w:b w:val="false"/>
            <w:i w:val="false"/>
            <w:color w:val="000000"/>
            <w:sz w:val="22"/>
          </w:rPr>
          <w:t>481—69.15</w:t>
        </w:r>
      </w:hyperlink>
      <w:r>
        <w:rPr>
          <w:rFonts w:ascii="Times New Roman" w:hAnsi="Times New Roman"/>
          <w:b w:val="false"/>
          <w:i w:val="false"/>
          <w:color w:val="000000"/>
          <w:sz w:val="22"/>
        </w:rPr>
        <w:t>(231C).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maintains its voluntary accreditation status for the duration of the time-limited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69.16(2)</w:t>
      </w:r>
      <w:r>
        <w:rPr>
          <w:rFonts w:ascii="Times New Roman" w:hAnsi="Times New Roman"/>
          <w:b w:val="false"/>
          <w:i w:val="false"/>
          <w:color w:val="000000"/>
          <w:sz w:val="22"/>
        </w:rPr>
        <w:t> </w:t>
      </w:r>
      <w:r>
        <w:rPr>
          <w:rFonts w:ascii="Times New Roman" w:hAnsi="Times New Roman"/>
          <w:b w:val="false"/>
          <w:i w:val="false"/>
          <w:color w:val="000000"/>
          <w:sz w:val="22"/>
        </w:rPr>
        <w:t>A program that does not maintain its voluntary accreditation status must become certified by the department prior to any lapse in accreditation or cease operation as a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481—69.17</w:t>
      </w:r>
      <w:r>
        <w:rPr>
          <w:rFonts w:ascii="Times New Roman" w:hAnsi="Times New Roman"/>
          <w:b/>
          <w:i w:val="false"/>
          <w:color w:val="000000"/>
          <w:sz w:val="22"/>
        </w:rPr>
        <w:t xml:space="preserve">(231C) </w:t>
      </w:r>
      <w:r>
        <w:rPr>
          <w:rFonts w:ascii="Times New Roman" w:hAnsi="Times New Roman"/>
          <w:b/>
          <w:i w:val="false"/>
          <w:color w:val="000000"/>
          <w:sz w:val="22"/>
        </w:rPr>
        <w:t xml:space="preserve">Change of ownership—notification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69.17(1)</w:t>
      </w:r>
      <w:r>
        <w:rPr>
          <w:rFonts w:ascii="Times New Roman" w:hAnsi="Times New Roman"/>
          <w:b w:val="false"/>
          <w:i w:val="false"/>
          <w:color w:val="000000"/>
          <w:sz w:val="22"/>
        </w:rPr>
        <w:t> </w:t>
      </w:r>
      <w:r>
        <w:rPr>
          <w:rFonts w:ascii="Times New Roman" w:hAnsi="Times New Roman"/>
          <w:b w:val="false"/>
          <w:i w:val="false"/>
          <w:color w:val="000000"/>
          <w:sz w:val="22"/>
        </w:rPr>
        <w:t>Certification, unless conditionally issued, suspended or revoked, may be transferable. If the program’s certification has been conditionally issued, the department must approve a change of ownership prior to the transfer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69.17(2)</w:t>
      </w:r>
      <w:r>
        <w:rPr>
          <w:rFonts w:ascii="Times New Roman" w:hAnsi="Times New Roman"/>
          <w:b w:val="false"/>
          <w:i w:val="false"/>
          <w:color w:val="000000"/>
          <w:sz w:val="22"/>
        </w:rPr>
        <w:t> </w:t>
      </w:r>
      <w:r>
        <w:rPr>
          <w:rFonts w:ascii="Times New Roman" w:hAnsi="Times New Roman"/>
          <w:b w:val="false"/>
          <w:i w:val="false"/>
          <w:color w:val="000000"/>
          <w:sz w:val="22"/>
        </w:rPr>
        <w:t>In order to transfer certification,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the rules, regulations and standards contained in Iowa Code chapter </w:t>
      </w:r>
      <w:hyperlink r:id="rId33">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30 days prior to the change of ownership of the program, provide application and supporting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within 90 days following a change in the program’s ownership to ensure that the program complies with applicable requirements. If a regulatory insufficiency is found, the department will take any necessary enforcement action authorized by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481—69.18</w:t>
      </w:r>
      <w:r>
        <w:rPr>
          <w:rFonts w:ascii="Times New Roman" w:hAnsi="Times New Roman"/>
          <w:b/>
          <w:i w:val="false"/>
          <w:color w:val="000000"/>
          <w:sz w:val="22"/>
        </w:rPr>
        <w:t xml:space="preserve">(231C) </w:t>
      </w:r>
      <w:r>
        <w:rPr>
          <w:rFonts w:ascii="Times New Roman" w:hAnsi="Times New Roman"/>
          <w:b/>
          <w:i w:val="false"/>
          <w:color w:val="000000"/>
          <w:sz w:val="22"/>
        </w:rPr>
        <w:t xml:space="preserve">Plan reviews of a building for a new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69.18(1)</w:t>
      </w:r>
      <w:r>
        <w:rPr>
          <w:rFonts w:ascii="Times New Roman" w:hAnsi="Times New Roman"/>
          <w:b w:val="false"/>
          <w:i w:val="false"/>
          <w:color w:val="000000"/>
          <w:sz w:val="22"/>
        </w:rPr>
        <w:t> </w:t>
      </w:r>
      <w:r>
        <w:rPr>
          <w:rFonts w:ascii="Times New Roman" w:hAnsi="Times New Roman"/>
          <w:b w:val="false"/>
          <w:i w:val="false"/>
          <w:color w:val="000000"/>
          <w:sz w:val="22"/>
        </w:rPr>
        <w:t>Before a building is constructed or remodeled for use in a new program, the state building code and fire safety bureau of the department shall review the construction documents and do fire inspections for compliance with requirements pursuant to this chapter. Construction or remodeling includes new construction, remodeling of any part of an existing building, addition of a new wing or floor to an existing building, or conversion of an existing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applicant shall submit construction documents to the building code bureau’s online portal at </w:t>
      </w:r>
      <w:hyperlink r:id="rId35">
        <w:r>
          <w:rPr>
            <w:rStyle w:val="Hyperlink"/>
            <w:rFonts w:ascii="Times New Roman" w:hAnsi="Times New Roman"/>
            <w:b w:val="false"/>
            <w:i w:val="false"/>
            <w:color w:val="000000"/>
            <w:sz w:val="22"/>
            <w:u w:val="single"/>
          </w:rPr>
          <w:t>dial.iowa.gov/licenses/building/plan-review</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69.18(3)</w:t>
      </w:r>
      <w:r>
        <w:rPr>
          <w:rFonts w:ascii="Times New Roman" w:hAnsi="Times New Roman"/>
          <w:b w:val="false"/>
          <w:i w:val="false"/>
          <w:color w:val="000000"/>
          <w:sz w:val="22"/>
        </w:rPr>
        <w:t> </w:t>
      </w:r>
      <w:r>
        <w:rPr>
          <w:rFonts w:ascii="Times New Roman" w:hAnsi="Times New Roman"/>
          <w:b w:val="false"/>
          <w:i w:val="false"/>
          <w:color w:val="000000"/>
          <w:sz w:val="22"/>
        </w:rPr>
        <w:t>The plan review fee must be paid before construction documents are uploaded to the project folder.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69.18(4)</w:t>
      </w:r>
      <w:r>
        <w:rPr>
          <w:rFonts w:ascii="Times New Roman" w:hAnsi="Times New Roman"/>
          <w:b w:val="false"/>
          <w:i w:val="false"/>
          <w:color w:val="000000"/>
          <w:sz w:val="22"/>
        </w:rPr>
        <w:t> </w:t>
      </w:r>
      <w:r>
        <w:rPr>
          <w:rFonts w:ascii="Times New Roman" w:hAnsi="Times New Roman"/>
          <w:b w:val="false"/>
          <w:i w:val="false"/>
          <w:color w:val="000000"/>
          <w:sz w:val="22"/>
        </w:rPr>
        <w:t>The building code bureau of the department will notify the Iowa-licensed architect or Iowa-licensed engineer in writing regarding the status of compliance with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69.18(5)</w:t>
      </w:r>
      <w:r>
        <w:rPr>
          <w:rFonts w:ascii="Times New Roman" w:hAnsi="Times New Roman"/>
          <w:b w:val="false"/>
          <w:i w:val="false"/>
          <w:color w:val="000000"/>
          <w:sz w:val="22"/>
        </w:rPr>
        <w:t> </w:t>
      </w:r>
      <w:r>
        <w:rPr>
          <w:rFonts w:ascii="Times New Roman" w:hAnsi="Times New Roman"/>
          <w:b w:val="false"/>
          <w:i w:val="false"/>
          <w:color w:val="000000"/>
          <w:sz w:val="22"/>
        </w:rPr>
        <w:t>The Iowa-licensed architect or Iowa-licensed engineer shall respond to the building code bureau regarding how any noncompliance will be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69.18(6)</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building code bureau that the construction documents meet the bureau’s requirements, construction or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69.18(7)</w:t>
      </w:r>
      <w:r>
        <w:rPr>
          <w:rFonts w:ascii="Times New Roman" w:hAnsi="Times New Roman"/>
          <w:b w:val="false"/>
          <w:i w:val="false"/>
          <w:color w:val="000000"/>
          <w:sz w:val="22"/>
        </w:rPr>
        <w:t> </w:t>
      </w:r>
      <w:r>
        <w:rPr>
          <w:rFonts w:ascii="Times New Roman" w:hAnsi="Times New Roman"/>
          <w:b w:val="false"/>
          <w:i w:val="false"/>
          <w:color w:val="000000"/>
          <w:sz w:val="22"/>
        </w:rPr>
        <w:t>The fire safety bureau will schedule an on-site visit of the building site with the contractor, or Iowa-licensed architect or Iowa-licensed engineer, during the construction or remodeling process to ensure compliance with the approved construction documents. Any noncompliance must be resolved prior to approval for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481—69.19</w:t>
      </w:r>
      <w:r>
        <w:rPr>
          <w:rFonts w:ascii="Times New Roman" w:hAnsi="Times New Roman"/>
          <w:b/>
          <w:i w:val="false"/>
          <w:color w:val="000000"/>
          <w:sz w:val="22"/>
        </w:rPr>
        <w:t xml:space="preserve">(231C) </w:t>
      </w:r>
      <w:r>
        <w:rPr>
          <w:rFonts w:ascii="Times New Roman" w:hAnsi="Times New Roman"/>
          <w:b/>
          <w:i w:val="false"/>
          <w:color w:val="000000"/>
          <w:sz w:val="22"/>
        </w:rPr>
        <w:t xml:space="preserve">Plan review prior to the remodeling of a building for a certified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 building for a certified program is remodeled as defined in subrule </w:t>
      </w:r>
      <w:hyperlink r:id="rId36">
        <w:r>
          <w:rPr>
            <w:rStyle w:val="Hyperlink"/>
            <w:rFonts w:ascii="Times New Roman" w:hAnsi="Times New Roman"/>
            <w:b w:val="false"/>
            <w:i w:val="false"/>
            <w:color w:val="000000"/>
            <w:sz w:val="22"/>
          </w:rPr>
          <w:t>69.18(1)</w:t>
        </w:r>
      </w:hyperlink>
      <w:r>
        <w:rPr>
          <w:rFonts w:ascii="Times New Roman" w:hAnsi="Times New Roman"/>
          <w:b w:val="false"/>
          <w:i w:val="false"/>
          <w:color w:val="000000"/>
          <w:sz w:val="22"/>
        </w:rPr>
        <w:t xml:space="preserve">, the building code bureau will review the construction documents for compliance with requirements set forth in rule </w:t>
      </w:r>
      <w:hyperlink r:id="rId37">
        <w:r>
          <w:rPr>
            <w:rStyle w:val="Hyperlink"/>
            <w:rFonts w:ascii="Times New Roman" w:hAnsi="Times New Roman"/>
            <w:b w:val="false"/>
            <w:i w:val="false"/>
            <w:color w:val="000000"/>
            <w:sz w:val="22"/>
          </w:rPr>
          <w:t>481—69.35</w:t>
        </w:r>
      </w:hyperlink>
      <w:r>
        <w:rPr>
          <w:rFonts w:ascii="Times New Roman" w:hAnsi="Times New Roman"/>
          <w:b w:val="false"/>
          <w:i w:val="false"/>
          <w:color w:val="000000"/>
          <w:sz w:val="22"/>
        </w:rPr>
        <w:t>(231C).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program shall submit construction documents to the building code bureau’s online portal at </w:t>
      </w:r>
      <w:hyperlink r:id="rId38">
        <w:r>
          <w:rPr>
            <w:rStyle w:val="Hyperlink"/>
            <w:rFonts w:ascii="Times New Roman" w:hAnsi="Times New Roman"/>
            <w:b w:val="false"/>
            <w:i w:val="false"/>
            <w:color w:val="000000"/>
            <w:sz w:val="22"/>
            <w:u w:val="single"/>
          </w:rPr>
          <w:t>dial.iowa.gov/licenses/building/plan-review</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69.19(3)</w:t>
      </w:r>
      <w:r>
        <w:rPr>
          <w:rFonts w:ascii="Times New Roman" w:hAnsi="Times New Roman"/>
          <w:b w:val="false"/>
          <w:i w:val="false"/>
          <w:color w:val="000000"/>
          <w:sz w:val="22"/>
        </w:rPr>
        <w:t> </w:t>
      </w:r>
      <w:r>
        <w:rPr>
          <w:rFonts w:ascii="Times New Roman" w:hAnsi="Times New Roman"/>
          <w:b w:val="false"/>
          <w:i w:val="false"/>
          <w:color w:val="000000"/>
          <w:sz w:val="22"/>
        </w:rPr>
        <w:t>The plan review fee must be paid before construction documents are uploaded to the project folder.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69.19(4)</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building code bureau that the construction documents meet structural and life safety requirements,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69.19(5)</w:t>
      </w:r>
      <w:r>
        <w:rPr>
          <w:rFonts w:ascii="Times New Roman" w:hAnsi="Times New Roman"/>
          <w:b w:val="false"/>
          <w:i w:val="false"/>
          <w:color w:val="000000"/>
          <w:sz w:val="22"/>
        </w:rPr>
        <w:t> </w:t>
      </w:r>
      <w:r>
        <w:rPr>
          <w:rFonts w:ascii="Times New Roman" w:hAnsi="Times New Roman"/>
          <w:b w:val="false"/>
          <w:i w:val="false"/>
          <w:color w:val="000000"/>
          <w:sz w:val="22"/>
        </w:rPr>
        <w:t>The building code and fire safety bureaus shall schedule an on-site visit of the building with the contractor, or Iowa-licensed architect or Iowa-licensed engineer, during the remodeling process to ensure compliance with the approved construction documents. Any noncompliance must be resolved prior to approval for continued certification or recertification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481—69.20</w:t>
      </w:r>
      <w:r>
        <w:rPr>
          <w:rFonts w:ascii="Times New Roman" w:hAnsi="Times New Roman"/>
          <w:b/>
          <w:i w:val="false"/>
          <w:color w:val="000000"/>
          <w:sz w:val="22"/>
        </w:rPr>
        <w:t xml:space="preserve">(231C) </w:t>
      </w:r>
      <w:r>
        <w:rPr>
          <w:rFonts w:ascii="Times New Roman" w:hAnsi="Times New Roman"/>
          <w:b/>
          <w:i w:val="false"/>
          <w:color w:val="000000"/>
          <w:sz w:val="22"/>
        </w:rPr>
        <w:t xml:space="preserve">Cessation of program operation that includes seeking decertification.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69.20(1)</w:t>
      </w:r>
      <w:r>
        <w:rPr>
          <w:rFonts w:ascii="Times New Roman" w:hAnsi="Times New Roman"/>
          <w:b w:val="false"/>
          <w:i w:val="false"/>
          <w:color w:val="000000"/>
          <w:sz w:val="22"/>
        </w:rPr>
        <w:t> </w:t>
      </w:r>
      <w:r>
        <w:rPr>
          <w:rFonts w:ascii="Times New Roman" w:hAnsi="Times New Roman"/>
          <w:b w:val="false"/>
          <w:i w:val="false"/>
          <w:color w:val="000000"/>
          <w:sz w:val="22"/>
        </w:rPr>
        <w:t>At least 90 days in advance of cessation, the program shall provide to the department and the office of long-term care ombudsman written notification of the date on which the program will cease operation or decertify.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 program decides to cease operation, the program shall submit a plan to the department and make arrangements for the safe and orderly transfer or transition of all tenants within the 90-day period specified by subrule </w:t>
      </w:r>
      <w:hyperlink r:id="rId39">
        <w:r>
          <w:rPr>
            <w:rStyle w:val="Hyperlink"/>
            <w:rFonts w:ascii="Times New Roman" w:hAnsi="Times New Roman"/>
            <w:b w:val="false"/>
            <w:i w:val="false"/>
            <w:color w:val="000000"/>
            <w:sz w:val="22"/>
          </w:rPr>
          <w:t>69.20(1)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during the 90-day period to ensure the safety of tenants during the transfer process or transition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69.20(4)</w:t>
      </w:r>
      <w:r>
        <w:rPr>
          <w:rFonts w:ascii="Times New Roman" w:hAnsi="Times New Roman"/>
          <w:b w:val="false"/>
          <w:i w:val="false"/>
          <w:color w:val="000000"/>
          <w:sz w:val="22"/>
        </w:rPr>
        <w:t> </w:t>
      </w:r>
      <w:r>
        <w:rPr>
          <w:rFonts w:ascii="Times New Roman" w:hAnsi="Times New Roman"/>
          <w:b w:val="false"/>
          <w:i w:val="false"/>
          <w:color w:val="000000"/>
          <w:sz w:val="22"/>
        </w:rPr>
        <w:t>When a program ceases operation, representatives from the office of long-term care ombudsman shall be allowed by the program to privately meet with tenants to provide education and service options.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481—69.21</w:t>
      </w:r>
      <w:r>
        <w:rPr>
          <w:rFonts w:ascii="Times New Roman" w:hAnsi="Times New Roman"/>
          <w:b/>
          <w:i w:val="false"/>
          <w:color w:val="000000"/>
          <w:sz w:val="22"/>
        </w:rPr>
        <w:t xml:space="preserve">(231C) </w:t>
      </w:r>
      <w:r>
        <w:rPr>
          <w:rFonts w:ascii="Times New Roman" w:hAnsi="Times New Roman"/>
          <w:b/>
          <w:i w:val="false"/>
          <w:color w:val="000000"/>
          <w:sz w:val="22"/>
        </w:rPr>
        <w:t xml:space="preserve">Occupancy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69.21(1)</w:t>
      </w:r>
      <w:r>
        <w:rPr>
          <w:rFonts w:ascii="Times New Roman" w:hAnsi="Times New Roman"/>
          <w:b w:val="false"/>
          <w:i w:val="false"/>
          <w:color w:val="000000"/>
          <w:sz w:val="22"/>
        </w:rPr>
        <w:t> </w:t>
      </w:r>
      <w:r>
        <w:rPr>
          <w:rFonts w:ascii="Times New Roman" w:hAnsi="Times New Roman"/>
          <w:b w:val="false"/>
          <w:i w:val="false"/>
          <w:color w:val="000000"/>
          <w:sz w:val="22"/>
        </w:rPr>
        <w:t>The occupancy agreement shall be in 12-point type or larger, written in plain language using commonly understood terms and be easy for the tenant or the tenant’s legal representative to understand.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Iowa Code section </w:t>
      </w:r>
      <w:hyperlink r:id="rId40">
        <w:r>
          <w:rPr>
            <w:rStyle w:val="Hyperlink"/>
            <w:rFonts w:ascii="Times New Roman" w:hAnsi="Times New Roman"/>
            <w:b w:val="false"/>
            <w:i w:val="false"/>
            <w:color w:val="000000"/>
            <w:sz w:val="22"/>
          </w:rPr>
          <w:t>231C.5</w:t>
        </w:r>
      </w:hyperlink>
      <w:r>
        <w:rPr>
          <w:rFonts w:ascii="Times New Roman" w:hAnsi="Times New Roman"/>
          <w:b w:val="false"/>
          <w:i w:val="false"/>
          <w:color w:val="000000"/>
          <w:sz w:val="22"/>
        </w:rPr>
        <w:t>, the written occupancy agreement shall include the following information in the body of the agreement or in the supporting documents and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filing a complaint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the office of long-term care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statement on tenants’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tenant landlord law applies to assisted living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program will notify the tenant at least 90 days in advance of any planned program cessation, except in cases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69.21(3)</w:t>
      </w:r>
      <w:r>
        <w:rPr>
          <w:rFonts w:ascii="Times New Roman" w:hAnsi="Times New Roman"/>
          <w:b w:val="false"/>
          <w:i w:val="false"/>
          <w:color w:val="000000"/>
          <w:sz w:val="22"/>
        </w:rPr>
        <w:t> </w:t>
      </w:r>
      <w:r>
        <w:rPr>
          <w:rFonts w:ascii="Times New Roman" w:hAnsi="Times New Roman"/>
          <w:b w:val="false"/>
          <w:i w:val="false"/>
          <w:color w:val="000000"/>
          <w:sz w:val="22"/>
        </w:rPr>
        <w:t>The occupancy agreement shall be reviewed and updated as necessary to reflect any change in services or financial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69.21(4)</w:t>
      </w:r>
      <w:r>
        <w:rPr>
          <w:rFonts w:ascii="Times New Roman" w:hAnsi="Times New Roman"/>
          <w:b w:val="false"/>
          <w:i w:val="false"/>
          <w:color w:val="000000"/>
          <w:sz w:val="22"/>
        </w:rPr>
        <w:t> </w:t>
      </w:r>
      <w:r>
        <w:rPr>
          <w:rFonts w:ascii="Times New Roman" w:hAnsi="Times New Roman"/>
          <w:b w:val="false"/>
          <w:i w:val="false"/>
          <w:color w:val="000000"/>
          <w:sz w:val="22"/>
        </w:rPr>
        <w:t>A copy of the occupancy agreement shall be provided to the tenant or the tenant’s legal representative, if any, and a copy kept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69.21(5)</w:t>
      </w:r>
      <w:r>
        <w:rPr>
          <w:rFonts w:ascii="Times New Roman" w:hAnsi="Times New Roman"/>
          <w:b w:val="false"/>
          <w:i w:val="false"/>
          <w:color w:val="000000"/>
          <w:sz w:val="22"/>
        </w:rPr>
        <w:t> </w:t>
      </w:r>
      <w:r>
        <w:rPr>
          <w:rFonts w:ascii="Times New Roman" w:hAnsi="Times New Roman"/>
          <w:b w:val="false"/>
          <w:i w:val="false"/>
          <w:color w:val="000000"/>
          <w:sz w:val="22"/>
        </w:rPr>
        <w:t>A copy of the most current occupancy agreement shall be made available to the general public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481—69.22</w:t>
      </w:r>
      <w:r>
        <w:rPr>
          <w:rFonts w:ascii="Times New Roman" w:hAnsi="Times New Roman"/>
          <w:b/>
          <w:i w:val="false"/>
          <w:color w:val="000000"/>
          <w:sz w:val="22"/>
        </w:rPr>
        <w:t xml:space="preserve">(231C) </w:t>
      </w:r>
      <w:r>
        <w:rPr>
          <w:rFonts w:ascii="Times New Roman" w:hAnsi="Times New Roman"/>
          <w:b/>
          <w:i w:val="false"/>
          <w:color w:val="000000"/>
          <w:sz w:val="22"/>
        </w:rPr>
        <w:t xml:space="preserve">Evaluation of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69.22(1)</w:t>
      </w:r>
      <w:r>
        <w:rPr>
          <w:rFonts w:ascii="Times New Roman" w:hAnsi="Times New Roman"/>
          <w:b w:val="false"/>
          <w:i w:val="false"/>
          <w:color w:val="000000"/>
          <w:sz w:val="22"/>
        </w:rPr>
        <w:t> </w:t>
      </w:r>
      <w:r>
        <w:rPr>
          <w:rFonts w:ascii="Times New Roman" w:hAnsi="Times New Roman"/>
          <w:b w:val="false"/>
          <w:i/>
          <w:color w:val="000000"/>
          <w:sz w:val="22"/>
        </w:rPr>
        <w:t xml:space="preserve">Evaluation prior to occupancy. </w:t>
      </w:r>
      <w:r>
        <w:rPr>
          <w:rFonts w:ascii="Times New Roman" w:hAnsi="Times New Roman"/>
          <w:b w:val="false"/>
          <w:i w:val="false"/>
          <w:color w:val="000000"/>
          <w:sz w:val="22"/>
        </w:rPr>
        <w:t>A program shall evaluate each prospective tenant’s functional, cognitive and health status prior to the tenant’s signing the occupancy agreement and taking occupancy of a dwelling unit in order to determine the tenant’s eligibility for the program, including whether the services needed are available. The cognitive evaluation shall utilize a scored, objective tool. When the score from the cognitive evaluation indicates moderate cognitive decline and risk, the GDS shall be used at all subsequent intervals, if applicable. If the tenant subsequently returns to the tenant’s mildly cognitively impaired state, the program may discontinue the GDS and revert to a scored cognitive screening tool. The evaluation shall be conducted by a health care professional, a human service professional,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69.22(2)</w:t>
      </w:r>
      <w:r>
        <w:rPr>
          <w:rFonts w:ascii="Times New Roman" w:hAnsi="Times New Roman"/>
          <w:b w:val="false"/>
          <w:i w:val="false"/>
          <w:color w:val="000000"/>
          <w:sz w:val="22"/>
        </w:rPr>
        <w:t> </w:t>
      </w:r>
      <w:r>
        <w:rPr>
          <w:rFonts w:ascii="Times New Roman" w:hAnsi="Times New Roman"/>
          <w:b w:val="false"/>
          <w:i/>
          <w:color w:val="000000"/>
          <w:sz w:val="22"/>
        </w:rPr>
        <w:t xml:space="preserve">Evaluation within 30 days of occupancy. </w:t>
      </w:r>
      <w:r>
        <w:rPr>
          <w:rFonts w:ascii="Times New Roman" w:hAnsi="Times New Roman"/>
          <w:b w:val="false"/>
          <w:i w:val="false"/>
          <w:color w:val="000000"/>
          <w:sz w:val="22"/>
        </w:rPr>
        <w:t>A program shall evaluate each tenant’s functional, cognitive and health status within 30 days of occupancy. The evaluation shall be conducted by a health care professional, a human service professional,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69.22(3)</w:t>
      </w:r>
      <w:r>
        <w:rPr>
          <w:rFonts w:ascii="Times New Roman" w:hAnsi="Times New Roman"/>
          <w:b w:val="false"/>
          <w:i w:val="false"/>
          <w:color w:val="000000"/>
          <w:sz w:val="22"/>
        </w:rPr>
        <w:t> </w:t>
      </w:r>
      <w:r>
        <w:rPr>
          <w:rFonts w:ascii="Times New Roman" w:hAnsi="Times New Roman"/>
          <w:b w:val="false"/>
          <w:i/>
          <w:color w:val="000000"/>
          <w:sz w:val="22"/>
        </w:rPr>
        <w:t xml:space="preserve">Evaluation annually and with significant change. </w:t>
      </w:r>
      <w:r>
        <w:rPr>
          <w:rFonts w:ascii="Times New Roman" w:hAnsi="Times New Roman"/>
          <w:b w:val="false"/>
          <w:i w:val="false"/>
          <w:color w:val="000000"/>
          <w:sz w:val="22"/>
        </w:rPr>
        <w:t>A program shall evaluate each tenant’s functional, cognitive and health status as needed with significant change, but not less than annually, to determine the tenant’s continued eligibility for the program and to determine any changes to services needed. The evaluation shall be conducted by a health care professional, a human service professional, or a licensed practical nurse via nurse delegation.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481—69.23</w:t>
      </w:r>
      <w:r>
        <w:rPr>
          <w:rFonts w:ascii="Times New Roman" w:hAnsi="Times New Roman"/>
          <w:b/>
          <w:i w:val="false"/>
          <w:color w:val="000000"/>
          <w:sz w:val="22"/>
        </w:rPr>
        <w:t xml:space="preserve">(231C) </w:t>
      </w:r>
      <w:r>
        <w:rPr>
          <w:rFonts w:ascii="Times New Roman" w:hAnsi="Times New Roman"/>
          <w:b/>
          <w:i w:val="false"/>
          <w:color w:val="000000"/>
          <w:sz w:val="22"/>
        </w:rPr>
        <w:t xml:space="preserve">Criteria for admission and retention of tenants.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not be admitted or retained. </w:t>
      </w:r>
      <w:r>
        <w:rPr>
          <w:rFonts w:ascii="Times New Roman" w:hAnsi="Times New Roman"/>
          <w:b w:val="false"/>
          <w:i w:val="false"/>
          <w:color w:val="000000"/>
          <w:sz w:val="22"/>
        </w:rPr>
        <w:t>A program shall not knowingly admit or retain a tenant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bed-bound;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Requires routine, two-person assistance with standing, transfer or evacuation;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dangerous to self or other tenants or staff, including but not limited to a tenant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Despite intervention, chronically elopes or is sexually, verbally, or physically aggressive or abusive;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Displays behavior that places another tenant at risk;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in an acute stage of alcoholism, drug addiction, or uncontrolled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under the age of 18;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Requires more than part-time or intermittent health-related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unmanageable incontinence on a routine basis despite an individualized toileting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 medically unstable;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Requires maximal assistance with activities of daily living;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Despite intervention, chronically urinates or defecates in places that are not considered acceptable according to societal norms.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69.23(2)</w:t>
      </w:r>
      <w:r>
        <w:rPr>
          <w:rFonts w:ascii="Times New Roman" w:hAnsi="Times New Roman"/>
          <w:b w:val="false"/>
          <w:i w:val="false"/>
          <w:color w:val="000000"/>
          <w:sz w:val="22"/>
        </w:rPr>
        <w:t> </w:t>
      </w:r>
      <w:r>
        <w:rPr>
          <w:rFonts w:ascii="Times New Roman" w:hAnsi="Times New Roman"/>
          <w:b w:val="false"/>
          <w:i/>
          <w:color w:val="000000"/>
          <w:sz w:val="22"/>
        </w:rPr>
        <w:t xml:space="preserve">Disclosure of additional occupancy and transfer criteria. </w:t>
      </w:r>
      <w:r>
        <w:rPr>
          <w:rFonts w:ascii="Times New Roman" w:hAnsi="Times New Roman"/>
          <w:b w:val="false"/>
          <w:i w:val="false"/>
          <w:color w:val="000000"/>
          <w:sz w:val="22"/>
        </w:rPr>
        <w:t>A program may have additional occupancy or transfer criteria if the criteria are disclosed in the written occupancy agreement prior to the tenant’s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69.23(3)</w:t>
      </w:r>
      <w:r>
        <w:rPr>
          <w:rFonts w:ascii="Times New Roman" w:hAnsi="Times New Roman"/>
          <w:b w:val="false"/>
          <w:i w:val="false"/>
          <w:color w:val="000000"/>
          <w:sz w:val="22"/>
        </w:rPr>
        <w:t> </w:t>
      </w:r>
      <w:r>
        <w:rPr>
          <w:rFonts w:ascii="Times New Roman" w:hAnsi="Times New Roman"/>
          <w:b w:val="false"/>
          <w:i/>
          <w:color w:val="000000"/>
          <w:sz w:val="22"/>
        </w:rPr>
        <w:t xml:space="preserve">Assistance with transfer from the program. </w:t>
      </w:r>
      <w:r>
        <w:rPr>
          <w:rFonts w:ascii="Times New Roman" w:hAnsi="Times New Roman"/>
          <w:b w:val="false"/>
          <w:i w:val="false"/>
          <w:color w:val="000000"/>
          <w:sz w:val="22"/>
        </w:rPr>
        <w:t>A program shall assist a tenant and the tenant’s legal representative, if applicable, to ensure a safe and orderly transfer from the program when the tenant exceeds the program’s criteria for admission and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481—69.24</w:t>
      </w:r>
      <w:r>
        <w:rPr>
          <w:rFonts w:ascii="Times New Roman" w:hAnsi="Times New Roman"/>
          <w:b/>
          <w:i w:val="false"/>
          <w:color w:val="000000"/>
          <w:sz w:val="22"/>
        </w:rPr>
        <w:t xml:space="preserve">(231C) </w:t>
      </w:r>
      <w:r>
        <w:rPr>
          <w:rFonts w:ascii="Times New Roman" w:hAnsi="Times New Roman"/>
          <w:b/>
          <w:i w:val="false"/>
          <w:color w:val="000000"/>
          <w:sz w:val="22"/>
        </w:rPr>
        <w:t xml:space="preserve">Involuntary transfer from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69.24(1)</w:t>
      </w:r>
      <w:r>
        <w:rPr>
          <w:rFonts w:ascii="Times New Roman" w:hAnsi="Times New Roman"/>
          <w:b w:val="false"/>
          <w:i w:val="false"/>
          <w:color w:val="000000"/>
          <w:sz w:val="22"/>
        </w:rPr>
        <w:t> </w:t>
      </w:r>
      <w:r>
        <w:rPr>
          <w:rFonts w:ascii="Times New Roman" w:hAnsi="Times New Roman"/>
          <w:b w:val="false"/>
          <w:i/>
          <w:color w:val="000000"/>
          <w:sz w:val="22"/>
        </w:rPr>
        <w:t xml:space="preserve">Program initiation of transfer. </w:t>
      </w:r>
      <w:r>
        <w:rPr>
          <w:rFonts w:ascii="Times New Roman" w:hAnsi="Times New Roman"/>
          <w:b w:val="false"/>
          <w:i w:val="false"/>
          <w:color w:val="000000"/>
          <w:sz w:val="22"/>
        </w:rPr>
        <w:t xml:space="preserve">The program shall comply with Iowa Code section </w:t>
      </w:r>
      <w:hyperlink r:id="rId41">
        <w:r>
          <w:rPr>
            <w:rStyle w:val="Hyperlink"/>
            <w:rFonts w:ascii="Times New Roman" w:hAnsi="Times New Roman"/>
            <w:b w:val="false"/>
            <w:i w:val="false"/>
            <w:color w:val="000000"/>
            <w:sz w:val="22"/>
          </w:rPr>
          <w:t>231C.6</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will provide the tenant, or the tenant’s legal representative, the contact information for the office of long-term care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will immediately provide to the office of long-term care ombudsman, by mail or email, a copy of the notification and notify the tenant’s treating physician,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Pursuant to statute, the office of long-term care ombudsman will offer the notified tenant or tenant’s legal representative assistance with the program’s internal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69.24(2)</w:t>
      </w:r>
      <w:r>
        <w:rPr>
          <w:rFonts w:ascii="Times New Roman" w:hAnsi="Times New Roman"/>
          <w:b w:val="false"/>
          <w:i w:val="false"/>
          <w:color w:val="000000"/>
          <w:sz w:val="22"/>
        </w:rPr>
        <w:t> </w:t>
      </w:r>
      <w:r>
        <w:rPr>
          <w:rFonts w:ascii="Times New Roman" w:hAnsi="Times New Roman"/>
          <w:b w:val="false"/>
          <w:i/>
          <w:color w:val="000000"/>
          <w:sz w:val="22"/>
        </w:rPr>
        <w:t xml:space="preserve">Transfer pursuant to results of monitoring or complaint or program-reported incident investigation by the department. </w:t>
      </w:r>
      <w:r>
        <w:rPr>
          <w:rFonts w:ascii="Times New Roman" w:hAnsi="Times New Roman"/>
          <w:b w:val="false"/>
          <w:i w:val="false"/>
          <w:color w:val="000000"/>
          <w:sz w:val="22"/>
        </w:rPr>
        <w:t>If one or more tenants are identified as exceeding the admission and retention criteria for tenants and need to be transferred as a result of a monitoring or a complaint or program-reported incident investigation conducted by the department,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agreement with the department’s finding. </w:t>
      </w:r>
      <w:r>
        <w:rPr>
          <w:rFonts w:ascii="Times New Roman" w:hAnsi="Times New Roman"/>
          <w:b w:val="false"/>
          <w:i w:val="false"/>
          <w:color w:val="000000"/>
          <w:sz w:val="22"/>
        </w:rPr>
        <w:t xml:space="preserve">If the program agrees with the department’s finding and the program begins involuntary transfer proceedings, the program’s internal appeal process in subrule </w:t>
      </w:r>
      <w:hyperlink r:id="rId42">
        <w:r>
          <w:rPr>
            <w:rStyle w:val="Hyperlink"/>
            <w:rFonts w:ascii="Times New Roman" w:hAnsi="Times New Roman"/>
            <w:b w:val="false"/>
            <w:i w:val="false"/>
            <w:color w:val="000000"/>
            <w:sz w:val="22"/>
          </w:rPr>
          <w:t>69.24(1)</w:t>
        </w:r>
      </w:hyperlink>
      <w:r>
        <w:rPr>
          <w:rFonts w:ascii="Times New Roman" w:hAnsi="Times New Roman"/>
          <w:b w:val="false"/>
          <w:i w:val="false"/>
          <w:color w:val="000000"/>
          <w:sz w:val="22"/>
        </w:rPr>
        <w:t xml:space="preserve"> will be utilized for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disagreement with the department’s finding. </w:t>
      </w:r>
      <w:r>
        <w:rPr>
          <w:rFonts w:ascii="Times New Roman" w:hAnsi="Times New Roman"/>
          <w:b w:val="false"/>
          <w:i w:val="false"/>
          <w:color w:val="000000"/>
          <w:sz w:val="22"/>
        </w:rPr>
        <w:t xml:space="preserve">If the program does not agree with the department’s finding that the tenant exceeds admission and retention criteria, the program may appeal the department’s final report as provided in rule </w:t>
      </w:r>
      <w:hyperlink r:id="rId43">
        <w:r>
          <w:rPr>
            <w:rStyle w:val="Hyperlink"/>
            <w:rFonts w:ascii="Times New Roman" w:hAnsi="Times New Roman"/>
            <w:b w:val="false"/>
            <w:i w:val="false"/>
            <w:color w:val="000000"/>
            <w:sz w:val="22"/>
          </w:rPr>
          <w:t>481—67.14</w:t>
        </w:r>
      </w:hyperlink>
      <w:r>
        <w:rPr>
          <w:rFonts w:ascii="Times New Roman" w:hAnsi="Times New Roman"/>
          <w:b w:val="false"/>
          <w:i w:val="false"/>
          <w:color w:val="000000"/>
          <w:sz w:val="22"/>
        </w:rPr>
        <w:t>(17A,231B,231C,231D,85GA,HF2365). If an appeal is filed, the tenant who exceeds admission and retention criteria will be allowed to continue living at the program until all administrative appeals have been exhausted. Appeals filed that relate to the tenant’s exceeding admission and retention criteria will be heard within 30 days of receipt, and appropriate services to meet the tenant’s needs will be provided during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for waiver of criteria for retention of a tenant in a program. </w:t>
      </w:r>
      <w:r>
        <w:rPr>
          <w:rFonts w:ascii="Times New Roman" w:hAnsi="Times New Roman"/>
          <w:b w:val="false"/>
          <w:i w:val="false"/>
          <w:color w:val="000000"/>
          <w:sz w:val="22"/>
        </w:rPr>
        <w:t xml:space="preserve">To allow a tenant to remain in the program, the program may request a waiver of criteria for retention of a tenant pursuant to rule </w:t>
      </w:r>
      <w:hyperlink r:id="rId44">
        <w:r>
          <w:rPr>
            <w:rStyle w:val="Hyperlink"/>
            <w:rFonts w:ascii="Times New Roman" w:hAnsi="Times New Roman"/>
            <w:b w:val="false"/>
            <w:i w:val="false"/>
            <w:color w:val="000000"/>
            <w:sz w:val="22"/>
          </w:rPr>
          <w:t>481—67.7</w:t>
        </w:r>
      </w:hyperlink>
      <w:r>
        <w:rPr>
          <w:rFonts w:ascii="Times New Roman" w:hAnsi="Times New Roman"/>
          <w:b w:val="false"/>
          <w:i w:val="false"/>
          <w:color w:val="000000"/>
          <w:sz w:val="22"/>
        </w:rPr>
        <w:t>(231B,231C,231D) from the department within ten working days of the receipt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481—69.25</w:t>
      </w:r>
      <w:r>
        <w:rPr>
          <w:rFonts w:ascii="Times New Roman" w:hAnsi="Times New Roman"/>
          <w:b/>
          <w:i w:val="false"/>
          <w:color w:val="000000"/>
          <w:sz w:val="22"/>
        </w:rPr>
        <w:t xml:space="preserve">(231C) </w:t>
      </w:r>
      <w:r>
        <w:rPr>
          <w:rFonts w:ascii="Times New Roman" w:hAnsi="Times New Roman"/>
          <w:b/>
          <w:i w:val="false"/>
          <w:color w:val="000000"/>
          <w:sz w:val="22"/>
        </w:rPr>
        <w:t xml:space="preserve">Tenant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69.25(1)</w:t>
      </w:r>
      <w:r>
        <w:rPr>
          <w:rFonts w:ascii="Times New Roman" w:hAnsi="Times New Roman"/>
          <w:b w:val="false"/>
          <w:i w:val="false"/>
          <w:color w:val="000000"/>
          <w:sz w:val="22"/>
        </w:rPr>
        <w:t> </w:t>
      </w:r>
      <w:r>
        <w:rPr>
          <w:rFonts w:ascii="Times New Roman" w:hAnsi="Times New Roman"/>
          <w:b w:val="false"/>
          <w:i w:val="false"/>
          <w:color w:val="000000"/>
          <w:sz w:val="22"/>
        </w:rPr>
        <w:t>Documentation for each tenant shall be maintained by the program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occupancy record, including the tenant’s name, birth date, and home address; identification numbers; date of occupancy; name, address and telephone number of health professional(s); diagnosis; and names, addresses and telephone numbers of family members, friends or other designated people to contact in the event of illness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evaluations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nutritional assessment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initial individual service plan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Signed authorizations for permission to release medical information, photographs, or other media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authorization for the tenant to receive emergency medical care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signed managed risk policy and signed managed risk consensus agreements,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any personal or health-related care is delegated to the program, the medical information sheet; documentation of health professionals’ orders, such as those for treatment, therapy, and medication; and nurses’ notes written by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lists, which will be maintained in conformance with </w:t>
      </w:r>
      <w:hyperlink r:id="rId45">
        <w:r>
          <w:rPr>
            <w:rStyle w:val="Hyperlink"/>
            <w:rFonts w:ascii="Times New Roman" w:hAnsi="Times New Roman"/>
            <w:b w:val="false"/>
            <w:i w:val="false"/>
            <w:color w:val="000000"/>
            <w:sz w:val="22"/>
          </w:rPr>
          <w:t>481—paragraph 67.5(2)</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Advance health care directives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copy of the tenant’s occupancy agreement, including any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written acknowledgment that the tenant or the tenant’s legal representative, if applicable, has been fully informed of the tenant’s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copy of guardianship, durable power of attorney for health care, power of attorney, or conservatorship or other documentation of a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Incident reports involving the tenant, including but not limited to those related to medication errors, accidents, falls, and elopements (such reports need not be included in the tenant’s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waivers of admission or retention criteria,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When the tenant is unable to advocate on the tenant’s own behalf or the tenant has multiple service providers, including hospice care providers, accurate documentation of the completion of routine personal or health-related care is required on task sheets. If tasks are doctor-ordered, the tasks will be part of the medication administration records (MARs);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Authorizations for the release of information,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69.25(2)</w:t>
      </w:r>
      <w:r>
        <w:rPr>
          <w:rFonts w:ascii="Times New Roman" w:hAnsi="Times New Roman"/>
          <w:b w:val="false"/>
          <w:i w:val="false"/>
          <w:color w:val="000000"/>
          <w:sz w:val="22"/>
        </w:rPr>
        <w:t> </w:t>
      </w:r>
      <w:r>
        <w:rPr>
          <w:rFonts w:ascii="Times New Roman" w:hAnsi="Times New Roman"/>
          <w:b w:val="false"/>
          <w:i w:val="false"/>
          <w:color w:val="000000"/>
          <w:sz w:val="22"/>
        </w:rPr>
        <w:t>The program records relating to a tenant shall be retained for a minimum of three years after termination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69.25(3)</w:t>
      </w:r>
      <w:r>
        <w:rPr>
          <w:rFonts w:ascii="Times New Roman" w:hAnsi="Times New Roman"/>
          <w:b w:val="false"/>
          <w:i w:val="false"/>
          <w:color w:val="000000"/>
          <w:sz w:val="22"/>
        </w:rPr>
        <w:t> </w:t>
      </w:r>
      <w:r>
        <w:rPr>
          <w:rFonts w:ascii="Times New Roman" w:hAnsi="Times New Roman"/>
          <w:b w:val="false"/>
          <w:i w:val="false"/>
          <w:color w:val="000000"/>
          <w:sz w:val="22"/>
        </w:rPr>
        <w:t>All records shall be protected from loss, damage and unauthorized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481—69.26</w:t>
      </w:r>
      <w:r>
        <w:rPr>
          <w:rFonts w:ascii="Times New Roman" w:hAnsi="Times New Roman"/>
          <w:b/>
          <w:i w:val="false"/>
          <w:color w:val="000000"/>
          <w:sz w:val="22"/>
        </w:rPr>
        <w:t xml:space="preserve">(231C) </w:t>
      </w:r>
      <w:r>
        <w:rPr>
          <w:rFonts w:ascii="Times New Roman" w:hAnsi="Times New Roman"/>
          <w:b/>
          <w:i w:val="false"/>
          <w:color w:val="000000"/>
          <w:sz w:val="22"/>
        </w:rPr>
        <w:t xml:space="preserve">Service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69.26(1)</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plan shall be developed for each tenant based on the evaluations conducted in accordance with rule </w:t>
      </w:r>
      <w:hyperlink r:id="rId46">
        <w:r>
          <w:rPr>
            <w:rStyle w:val="Hyperlink"/>
            <w:rFonts w:ascii="Times New Roman" w:hAnsi="Times New Roman"/>
            <w:b w:val="false"/>
            <w:i w:val="false"/>
            <w:color w:val="000000"/>
            <w:sz w:val="22"/>
          </w:rPr>
          <w:t>481—69.22</w:t>
        </w:r>
      </w:hyperlink>
      <w:r>
        <w:rPr>
          <w:rFonts w:ascii="Times New Roman" w:hAnsi="Times New Roman"/>
          <w:b w:val="false"/>
          <w:i w:val="false"/>
          <w:color w:val="000000"/>
          <w:sz w:val="22"/>
        </w:rPr>
        <w:t>(231C) and be designed to meet the specific needs of the individual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69.26(2)</w:t>
      </w:r>
      <w:r>
        <w:rPr>
          <w:rFonts w:ascii="Times New Roman" w:hAnsi="Times New Roman"/>
          <w:b w:val="false"/>
          <w:i w:val="false"/>
          <w:color w:val="000000"/>
          <w:sz w:val="22"/>
        </w:rPr>
        <w:t> </w:t>
      </w:r>
      <w:r>
        <w:rPr>
          <w:rFonts w:ascii="Times New Roman" w:hAnsi="Times New Roman"/>
          <w:b w:val="false"/>
          <w:i w:val="false"/>
          <w:color w:val="000000"/>
          <w:sz w:val="22"/>
        </w:rPr>
        <w:t>Prior to the tenant’s signing the occupancy agreement and taking occupancy of a dwelling unit, a preliminary service plan shall be developed by a health care professional or human service professional in consultation with the tenant and, at the tenant’s request, with other individuals identified by the tenant, and, if applicable, with the tenant’s legal representative. All persons who develop the plan and the tenant or the tenant’s legal representative shall sign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69.26(3)</w:t>
      </w:r>
      <w:r>
        <w:rPr>
          <w:rFonts w:ascii="Times New Roman" w:hAnsi="Times New Roman"/>
          <w:b w:val="false"/>
          <w:i w:val="false"/>
          <w:color w:val="000000"/>
          <w:sz w:val="22"/>
        </w:rPr>
        <w:t> </w:t>
      </w:r>
      <w:r>
        <w:rPr>
          <w:rFonts w:ascii="Times New Roman" w:hAnsi="Times New Roman"/>
          <w:b w:val="false"/>
          <w:i w:val="false"/>
          <w:color w:val="000000"/>
          <w:sz w:val="22"/>
        </w:rPr>
        <w:t>When a tenant needs personal care or health-related care, the service plan shall be updated within 30 days of the tenant’s occupancy and as needed with significant change, but not less than annually. The service plan shall be signed by all parties, including the tenant or tenant’s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does not exist, the program may, after nurse review, add minor discretionary changes to the service plan without a comprehensive evaluation and without obtaining signatures on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relates to a recurring or chronic condition, a previous evaluation and service plan of the recurring condition may be utilized without new signatures being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individualized and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tenant’s identified needs and preferences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services and care to be provided pursuant to the occupancy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provider(s), if other than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tenants who are unable to plan their own activities, including tenants with dementia, a list of person-centered planned and spontaneous activities based on the tenant’s abilities and personal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Preferences, if any, of the tenant or the tenant’s legal representative for nursing facility care, if the need for nursing facility care presents itself during the assisted living program occupancy.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481—69.27</w:t>
      </w:r>
      <w:r>
        <w:rPr>
          <w:rFonts w:ascii="Times New Roman" w:hAnsi="Times New Roman"/>
          <w:b/>
          <w:i w:val="false"/>
          <w:color w:val="000000"/>
          <w:sz w:val="22"/>
        </w:rPr>
        <w:t xml:space="preserve">(231C) </w:t>
      </w:r>
      <w:r>
        <w:rPr>
          <w:rFonts w:ascii="Times New Roman" w:hAnsi="Times New Roman"/>
          <w:b/>
          <w:i w:val="false"/>
          <w:color w:val="000000"/>
          <w:sz w:val="22"/>
        </w:rPr>
        <w:t xml:space="preserve">Nurse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69.27(1)</w:t>
      </w:r>
      <w:r>
        <w:rPr>
          <w:rFonts w:ascii="Times New Roman" w:hAnsi="Times New Roman"/>
          <w:b w:val="false"/>
          <w:i w:val="false"/>
          <w:color w:val="000000"/>
          <w:sz w:val="22"/>
        </w:rPr>
        <w:t> </w:t>
      </w:r>
      <w:r>
        <w:rPr>
          <w:rFonts w:ascii="Times New Roman" w:hAnsi="Times New Roman"/>
          <w:b w:val="false"/>
          <w:i w:val="false"/>
          <w:color w:val="000000"/>
          <w:sz w:val="22"/>
        </w:rPr>
        <w:t>If a tenant does not receive personal or health-related care but an observed significant change in the tenant’s condition occurs, a nurse review shall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69.27(2)</w:t>
      </w:r>
      <w:r>
        <w:rPr>
          <w:rFonts w:ascii="Times New Roman" w:hAnsi="Times New Roman"/>
          <w:b w:val="false"/>
          <w:i w:val="false"/>
          <w:color w:val="000000"/>
          <w:sz w:val="22"/>
        </w:rPr>
        <w:t> </w:t>
      </w:r>
      <w:r>
        <w:rPr>
          <w:rFonts w:ascii="Times New Roman" w:hAnsi="Times New Roman"/>
          <w:b w:val="false"/>
          <w:i w:val="false"/>
          <w:color w:val="000000"/>
          <w:sz w:val="22"/>
        </w:rPr>
        <w:t>If a tenant receives personal or health-related care, the program shall provide for a registered nurse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monitor, at least every 90 days, or after a significant change in the tenant’s condition, any tenant who receives program-administered prescription medications for adverse reactions to the medications and to make appropriate interventions or referrals, and to ensure that the prescription medication orders are current and that the prescription medications are administered consistent with such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ensure that health care professionals’ orders are current for tenants who receive professional-directed health care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assess and document the health status of each tenant, to make recommendations and referrals as appropriate, and to monitor progress relating to previous recommendations at least every 90 days and whenever there are changes in the tenant’s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provide the program with written documentation of the nurse review, showing the time, date and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481—69.28</w:t>
      </w:r>
      <w:r>
        <w:rPr>
          <w:rFonts w:ascii="Times New Roman" w:hAnsi="Times New Roman"/>
          <w:b/>
          <w:i w:val="false"/>
          <w:color w:val="000000"/>
          <w:sz w:val="22"/>
        </w:rPr>
        <w:t xml:space="preserve">(231C) </w:t>
      </w:r>
      <w:r>
        <w:rPr>
          <w:rFonts w:ascii="Times New Roman" w:hAnsi="Times New Roman"/>
          <w:b/>
          <w:i w:val="false"/>
          <w:color w:val="000000"/>
          <w:sz w:val="22"/>
        </w:rPr>
        <w:t xml:space="preserve">Food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or coordinate with other community providers to provide a hot or other appropriate meal(s) at least once a day or arrange for the availability of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69.28(2)</w:t>
      </w:r>
      <w:r>
        <w:rPr>
          <w:rFonts w:ascii="Times New Roman" w:hAnsi="Times New Roman"/>
          <w:b w:val="false"/>
          <w:i w:val="false"/>
          <w:color w:val="000000"/>
          <w:sz w:val="22"/>
        </w:rPr>
        <w:t> </w:t>
      </w:r>
      <w:r>
        <w:rPr>
          <w:rFonts w:ascii="Times New Roman" w:hAnsi="Times New Roman"/>
          <w:b w:val="false"/>
          <w:i w:val="false"/>
          <w:color w:val="000000"/>
          <w:sz w:val="22"/>
        </w:rPr>
        <w:t>Meals and snacks provided by the program but not prepared on site shall be obtained from or provided by an entity that meets the standards of state and local health laws and ordinances concerning the preparation and serving of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69.28(3)</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to provide the following percentage of the daily recommended dietary allowances as established by the Food and Nutrition Board of the National Research Council of the National Academy of Sciences based on the number of meals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33⅓ percent if the program provides one meal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66⅔ percent if the program provides two meals per 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hundred percent if the program provides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69.28(4)</w:t>
      </w:r>
      <w:r>
        <w:rPr>
          <w:rFonts w:ascii="Times New Roman" w:hAnsi="Times New Roman"/>
          <w:b w:val="false"/>
          <w:i w:val="false"/>
          <w:color w:val="000000"/>
          <w:sz w:val="22"/>
        </w:rPr>
        <w:t> </w:t>
      </w:r>
      <w:r>
        <w:rPr>
          <w:rFonts w:ascii="Times New Roman" w:hAnsi="Times New Roman"/>
          <w:b w:val="false"/>
          <w:i w:val="false"/>
          <w:color w:val="000000"/>
          <w:sz w:val="22"/>
        </w:rPr>
        <w:t>Therapeutic diets may be provided by a program. If therapeutic diets are provided, they shall be prescribed by a physician, physician associate, advanced registered nurse practitioner or ordered by a licensed dietitian authorized by a qualified medical provider. A therapeutic diet provides food, fluids or nutrients by oral, enteral, or parenteral routes and is used in the treatment of a disease or clinical condition to modify, eliminate, decrease or increase specific macro- or micronutrients, or to provide mechanically altered food when medically indicated. The thirteenth edition of the Iowa Simplified Diet Manual published by the Iowa dietetic association shall be available and used in the planning and serving of therapeutic diets. A licensed dietitian shall be responsible for writing and approving the therapeutic menu and for reviewing procedures for food preparation and service for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69.28(5)</w:t>
      </w:r>
      <w:r>
        <w:rPr>
          <w:rFonts w:ascii="Times New Roman" w:hAnsi="Times New Roman"/>
          <w:b w:val="false"/>
          <w:i w:val="false"/>
          <w:color w:val="000000"/>
          <w:sz w:val="22"/>
        </w:rPr>
        <w:t> </w:t>
      </w:r>
      <w:r>
        <w:rPr>
          <w:rFonts w:ascii="Times New Roman" w:hAnsi="Times New Roman"/>
          <w:b w:val="false"/>
          <w:i w:val="false"/>
          <w:color w:val="000000"/>
          <w:sz w:val="22"/>
        </w:rPr>
        <w:t>Personnel who are employed by or contract with the program and who are responsible for food preparation or service, or both food preparation and service, shall have an orientation on sanitation and safe food handling prior to handling food and have annual in-service training on food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above, a minimum of one person directly responsible for food preparation shall have successfully completed a state-approved food protection program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dietary manager;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food protection professional;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completing an ANSI-accredited certified food protection manager program meeting the requirements for a food protection program included in the Food Code adopted pursuant to Iowa Code chapter </w:t>
      </w:r>
      <w:hyperlink r:id="rId4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Another program may be substituted if the program’s curriculum includes substantially similar competencies to a program that meets the requirements of the Food Code and the provider of the program files with the department a statement indicating that the program provides substantially similar instruction as it relates to sanitation and safe food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is in the process of completing a course or certification listed in paragraph </w:t>
      </w:r>
      <w:hyperlink r:id="rId48">
        <w:r>
          <w:rPr>
            <w:rStyle w:val="Hyperlink"/>
            <w:rFonts w:ascii="Times New Roman" w:hAnsi="Times New Roman"/>
            <w:b w:val="false"/>
            <w:i w:val="false"/>
            <w:color w:val="000000"/>
            <w:sz w:val="22"/>
          </w:rPr>
          <w:t>69.28(5)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requirement relating to completion of a state-approved food protection program will be considered to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69.28(6)</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Programs engaged in the preparation and service of meals and snacks shall meet the standards of state and local health laws and ordinances pertaining to the preparation and service of food and be licensed pursuant to Iowa Code chapter </w:t>
      </w:r>
      <w:hyperlink r:id="rId4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The department will not require the program to be licensed as a food establishment if the program limits food activities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main meals and planned menu items will be prepared offsite and transferred to the program kitchen for service to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Baked goods that do not require temperature control for safety and single-service juice or milk may be stored in the program’s kitchen and provided as part of a continental breakfast.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Ingredients used for food-related activities with tenants may be stored in the program’s kitchen. Tenant activities may include the preparation and cooking of food items in the program’s kitchen if the activity occurs on an irregular or sporadic basis and the items prepared are not part of the program’s menu.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Appropriately trained staff may prepare in the program’s kitchen individual quantities of tenant-requested menu-substitution food items that require limited or no preparation, such as peanut butter or cheese sandwiches or a single-service can of soup. The food items necessary to prepare the menu substitution may be stored in the program’s kitchen. These food items may not be cooked in the program’s kitchen but may be reheated in a microwave. A two- or four-slice toaster may be used for tenant-requested menu-substitution items, but there will be no bare-hand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Tenants may take food items left over from a meal back to their apartments, but no leftovers will be stored in the program’s kitchen.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Warewashing may be done in the program’s kitchen as long as the program utilizes a commercial dishwasher and documents daily testing of sanitizer chemical ppm and proper water temperatures. Verification by the department of these practices may be conducted during on-site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69.28(7)</w:t>
      </w:r>
      <w:r>
        <w:rPr>
          <w:rFonts w:ascii="Times New Roman" w:hAnsi="Times New Roman"/>
          <w:b w:val="false"/>
          <w:i w:val="false"/>
          <w:color w:val="000000"/>
          <w:sz w:val="22"/>
        </w:rPr>
        <w:t> </w:t>
      </w:r>
      <w:r>
        <w:rPr>
          <w:rFonts w:ascii="Times New Roman" w:hAnsi="Times New Roman"/>
          <w:b w:val="false"/>
          <w:i w:val="false"/>
          <w:color w:val="000000"/>
          <w:sz w:val="22"/>
        </w:rPr>
        <w:t>All perishable or potentially hazardous food shall be cooked to recommended temperatures and held at safe temperatures of 41°F (5°C) or below, or 135°F (57°C) or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481—69.29</w:t>
      </w:r>
      <w:r>
        <w:rPr>
          <w:rFonts w:ascii="Times New Roman" w:hAnsi="Times New Roman"/>
          <w:b/>
          <w:i w:val="false"/>
          <w:color w:val="000000"/>
          <w:sz w:val="22"/>
        </w:rPr>
        <w:t xml:space="preserve">(231C) </w:t>
      </w:r>
      <w:r>
        <w:rPr>
          <w:rFonts w:ascii="Times New Roman" w:hAnsi="Times New Roman"/>
          <w:b/>
          <w:i w:val="false"/>
          <w:color w:val="000000"/>
          <w:sz w:val="22"/>
        </w:rPr>
        <w:t xml:space="preserve">Staffing. </w:t>
      </w:r>
      <w:r>
        <w:rPr>
          <w:rFonts w:ascii="Times New Roman" w:hAnsi="Times New Roman"/>
          <w:b w:val="false"/>
          <w:i w:val="false"/>
          <w:color w:val="000000"/>
          <w:sz w:val="22"/>
        </w:rPr>
        <w:t xml:space="preserve">In addition to the general staffing requirements in rule </w:t>
      </w:r>
      <w:hyperlink r:id="rId50">
        <w:r>
          <w:rPr>
            <w:rStyle w:val="Hyperlink"/>
            <w:rFonts w:ascii="Times New Roman" w:hAnsi="Times New Roman"/>
            <w:b w:val="false"/>
            <w:i w:val="false"/>
            <w:color w:val="000000"/>
            <w:sz w:val="22"/>
          </w:rPr>
          <w:t>481—67.9</w:t>
        </w:r>
      </w:hyperlink>
      <w:r>
        <w:rPr>
          <w:rFonts w:ascii="Times New Roman" w:hAnsi="Times New Roman"/>
          <w:b w:val="false"/>
          <w:i w:val="false"/>
          <w:color w:val="000000"/>
          <w:sz w:val="22"/>
        </w:rPr>
        <w:t>(231B,231C,231D), the following requirements apply to staffing in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69.29(1)</w:t>
      </w:r>
      <w:r>
        <w:rPr>
          <w:rFonts w:ascii="Times New Roman" w:hAnsi="Times New Roman"/>
          <w:b w:val="false"/>
          <w:i w:val="false"/>
          <w:color w:val="000000"/>
          <w:sz w:val="22"/>
        </w:rPr>
        <w:t> </w:t>
      </w:r>
      <w:r>
        <w:rPr>
          <w:rFonts w:ascii="Times New Roman" w:hAnsi="Times New Roman"/>
          <w:b w:val="false"/>
          <w:i w:val="false"/>
          <w:color w:val="000000"/>
          <w:sz w:val="22"/>
        </w:rPr>
        <w:t>Each tenant will have access to a 24-hour personal emergency response system that automatically identifies the tenant in distress and can be activated with one touch.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69.29(2)</w:t>
      </w:r>
      <w:r>
        <w:rPr>
          <w:rFonts w:ascii="Times New Roman" w:hAnsi="Times New Roman"/>
          <w:b w:val="false"/>
          <w:i w:val="false"/>
          <w:color w:val="000000"/>
          <w:sz w:val="22"/>
        </w:rPr>
        <w:t> </w:t>
      </w:r>
      <w:r>
        <w:rPr>
          <w:rFonts w:ascii="Times New Roman" w:hAnsi="Times New Roman"/>
          <w:b w:val="false"/>
          <w:i w:val="false"/>
          <w:color w:val="000000"/>
          <w:sz w:val="22"/>
        </w:rPr>
        <w:t>In lieu of providing access to a personal emergency response system, a program serving one or more tenants with cognitive disorder or dementia will follow a system, program, or written staff procedures that address how the program will respond to the emergency needs of the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69.29(3)</w:t>
      </w:r>
      <w:r>
        <w:rPr>
          <w:rFonts w:ascii="Times New Roman" w:hAnsi="Times New Roman"/>
          <w:b w:val="false"/>
          <w:i w:val="false"/>
          <w:color w:val="000000"/>
          <w:sz w:val="22"/>
        </w:rPr>
        <w:t> </w:t>
      </w:r>
      <w:r>
        <w:rPr>
          <w:rFonts w:ascii="Times New Roman" w:hAnsi="Times New Roman"/>
          <w:b w:val="false"/>
          <w:i w:val="false"/>
          <w:color w:val="000000"/>
          <w:sz w:val="22"/>
        </w:rPr>
        <w:t>The owner or management corporation of the program is responsible for ensuring that all personnel employed by or contracting with the program receive training appropriate to assigned tasks and the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69.29(4)</w:t>
      </w:r>
      <w:r>
        <w:rPr>
          <w:rFonts w:ascii="Times New Roman" w:hAnsi="Times New Roman"/>
          <w:b w:val="false"/>
          <w:i w:val="false"/>
          <w:color w:val="000000"/>
          <w:sz w:val="22"/>
        </w:rPr>
        <w:t> </w:t>
      </w:r>
      <w:r>
        <w:rPr>
          <w:rFonts w:ascii="Times New Roman" w:hAnsi="Times New Roman"/>
          <w:b w:val="false"/>
          <w:i w:val="false"/>
          <w:color w:val="000000"/>
          <w:sz w:val="22"/>
        </w:rPr>
        <w:t>A dementia-specific assisted living program will have one or more staff persons who monitor tenants as indicated in each tenant’s service plan. The staff will be awake and on duty 24 hours a day on site and in the proximate area.</w:t>
      </w:r>
    </w:p>
    <w:p>
      <w:pPr>
        <w:spacing w:before="0" w:after="0"/>
        <w:ind w:left="120"/>
        <w:jc w:val="both"/>
      </w:pPr>
      <w:r>
        <w:rPr>
          <w:rFonts w:ascii="Times New Roman" w:hAnsi="Times New Roman"/>
          <w:b w:val="false"/>
          <w:i w:val="false"/>
          <w:color w:val="000000"/>
          <w:sz w:val="22"/>
        </w:rPr>
        <w:t>A non-dementia-specific assisted living program will have one or more staff persons who monitor tenants as indicated in each tenant’s service plan, be able to respond to a call light or other emergent tenant needs, and be in the proximate area 24 hours a day 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69.29(5)</w:t>
      </w:r>
      <w:r>
        <w:rPr>
          <w:rFonts w:ascii="Times New Roman" w:hAnsi="Times New Roman"/>
          <w:b w:val="false"/>
          <w:i w:val="false"/>
          <w:color w:val="000000"/>
          <w:sz w:val="22"/>
        </w:rPr>
        <w:t> </w:t>
      </w:r>
      <w:r>
        <w:rPr>
          <w:rFonts w:ascii="Times New Roman" w:hAnsi="Times New Roman"/>
          <w:b w:val="false"/>
          <w:i w:val="false"/>
          <w:color w:val="000000"/>
          <w:sz w:val="22"/>
        </w:rPr>
        <w:t>All programs employing a new program manager after January 1, 2010, will require the manager within six months of hire to complete an assisted living management class whose curriculum includes at least six hours of training specifically related to Iowa rules and laws on assisted living programs. Managers who have completed a similar training prior to January 1, 2010, will not be required to complete additional training to meet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69.29(6)</w:t>
      </w:r>
      <w:r>
        <w:rPr>
          <w:rFonts w:ascii="Times New Roman" w:hAnsi="Times New Roman"/>
          <w:b w:val="false"/>
          <w:i w:val="false"/>
          <w:color w:val="000000"/>
          <w:sz w:val="22"/>
        </w:rPr>
        <w:t> </w:t>
      </w:r>
      <w:r>
        <w:rPr>
          <w:rFonts w:ascii="Times New Roman" w:hAnsi="Times New Roman"/>
          <w:b w:val="false"/>
          <w:i w:val="false"/>
          <w:color w:val="000000"/>
          <w:sz w:val="22"/>
        </w:rPr>
        <w:t>All programs employing a new delegating nurse after January 1, 2010, will require the delegating nurse within six months of hire to complete an assisted living manager class or assisted living nursing class whose curriculum includes at least six hours of training specifically related to Iowa rules and laws on assisted living. A minimum of one delegating nurse from each program will complete the training. If there are multiple delegating nurses and only one delegating nurse completes the training, the delegating nurse who completes the training will train the other delegating nurses in the Iowa rules and laws on assisted living. As of January 1, 2011, all programs shall have a minimum of one delegating nurse who has completed the training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69.29(7)</w:t>
      </w:r>
      <w:r>
        <w:rPr>
          <w:rFonts w:ascii="Times New Roman" w:hAnsi="Times New Roman"/>
          <w:b w:val="false"/>
          <w:i w:val="false"/>
          <w:color w:val="000000"/>
          <w:sz w:val="22"/>
        </w:rPr>
        <w:t> </w:t>
      </w:r>
      <w:r>
        <w:rPr>
          <w:rFonts w:ascii="Times New Roman" w:hAnsi="Times New Roman"/>
          <w:b w:val="false"/>
          <w:i w:val="false"/>
          <w:color w:val="000000"/>
          <w:sz w:val="22"/>
        </w:rPr>
        <w:t>The program will notify the department in writing within ten business days of a change in the program’s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69.29(8)</w:t>
      </w:r>
      <w:r>
        <w:rPr>
          <w:rFonts w:ascii="Times New Roman" w:hAnsi="Times New Roman"/>
          <w:b w:val="false"/>
          <w:i w:val="false"/>
          <w:color w:val="000000"/>
          <w:sz w:val="22"/>
        </w:rPr>
        <w:t> </w:t>
      </w:r>
      <w:r>
        <w:rPr>
          <w:rFonts w:ascii="Times New Roman" w:hAnsi="Times New Roman"/>
          <w:b w:val="false"/>
          <w:i w:val="false"/>
          <w:color w:val="000000"/>
          <w:sz w:val="22"/>
        </w:rPr>
        <w:t>The program must develop and implement policy and procedure for addressing sexual relationships between tenants and staff and between tenants with dementia greater than Stage 5 on the GDS.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481—69.30</w:t>
      </w:r>
      <w:r>
        <w:rPr>
          <w:rFonts w:ascii="Times New Roman" w:hAnsi="Times New Roman"/>
          <w:b/>
          <w:i w:val="false"/>
          <w:color w:val="000000"/>
          <w:sz w:val="22"/>
        </w:rPr>
        <w:t xml:space="preserve">(231C) </w:t>
      </w:r>
      <w:r>
        <w:rPr>
          <w:rFonts w:ascii="Times New Roman" w:hAnsi="Times New Roman"/>
          <w:b/>
          <w:i w:val="false"/>
          <w:color w:val="000000"/>
          <w:sz w:val="22"/>
        </w:rPr>
        <w:t xml:space="preserve">Dementia-specific education for program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69.30(1)</w:t>
      </w:r>
      <w:r>
        <w:rPr>
          <w:rFonts w:ascii="Times New Roman" w:hAnsi="Times New Roman"/>
          <w:b w:val="false"/>
          <w:i w:val="false"/>
          <w:color w:val="000000"/>
          <w:sz w:val="22"/>
        </w:rPr>
        <w:t> </w:t>
      </w:r>
      <w:r>
        <w:rPr>
          <w:rFonts w:ascii="Times New Roman" w:hAnsi="Times New Roman"/>
          <w:b w:val="false"/>
          <w:i w:val="false"/>
          <w:color w:val="000000"/>
          <w:sz w:val="22"/>
        </w:rPr>
        <w:t>All personnel employed by or contracting with a dementia-specific program shall receive a minimum of eight hours of dementia-specific education and training within 30 days of either employment or the beginning date of the contract,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69.30(2)</w:t>
      </w:r>
      <w:r>
        <w:rPr>
          <w:rFonts w:ascii="Times New Roman" w:hAnsi="Times New Roman"/>
          <w:b w:val="false"/>
          <w:i w:val="false"/>
          <w:color w:val="000000"/>
          <w:sz w:val="22"/>
        </w:rPr>
        <w:t> </w:t>
      </w:r>
      <w:r>
        <w:rPr>
          <w:rFonts w:ascii="Times New Roman" w:hAnsi="Times New Roman"/>
          <w:b w:val="false"/>
          <w:i w:val="false"/>
          <w:color w:val="000000"/>
          <w:sz w:val="22"/>
        </w:rPr>
        <w:t>The dementia-specific education or training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dementia and related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program’s specialized dementia care philosophy and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family and friends of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issues such as role reversal, grief and loss, guilt, relinquishing the care-giving role,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importance of planned and spontaneous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Skills in assistance with instrumental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importance of the service plan and social history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Skills in working with challenging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Techniques for simplifying, cueing, and redirecting;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Staff support and stress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nonpharmacological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69.30(3)</w:t>
      </w:r>
      <w:r>
        <w:rPr>
          <w:rFonts w:ascii="Times New Roman" w:hAnsi="Times New Roman"/>
          <w:b w:val="false"/>
          <w:i w:val="false"/>
          <w:color w:val="000000"/>
          <w:sz w:val="22"/>
        </w:rPr>
        <w:t> </w:t>
      </w:r>
      <w:r>
        <w:rPr>
          <w:rFonts w:ascii="Times New Roman" w:hAnsi="Times New Roman"/>
          <w:b w:val="false"/>
          <w:i w:val="false"/>
          <w:color w:val="000000"/>
          <w:sz w:val="22"/>
        </w:rPr>
        <w:t>Dementia-specific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subrule, all personnel employed by or contracting with a dementia-specific program shall receive a minimum of two hours of dementia-specific continuing education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Direct-contact personnel employed by or contracting with a dementia-specific program or employed by a contracting agency providing staff to a dementia-specific program shall receive a minimum of eight hours of dementia-specific continuing education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Contracted personnel who have no contact with tenants (e.g., persons providing lawn maintenance or snow removal) are not required to receive the two hours of training required in paragraph </w:t>
      </w:r>
      <w:hyperlink r:id="rId51">
        <w:r>
          <w:rPr>
            <w:rStyle w:val="Hyperlink"/>
            <w:rFonts w:ascii="Times New Roman" w:hAnsi="Times New Roman"/>
            <w:b w:val="false"/>
            <w:i w:val="false"/>
            <w:color w:val="000000"/>
            <w:sz w:val="22"/>
          </w:rPr>
          <w:t>69.30(3)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contracting agency may provide the program with documentation of dementia-specific continuing education that meets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69.30(4)</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or contractor who provides documentation of completion of a dementia- specific education or training program within the past 12 months will be exempt from the education and training requirement of subrule </w:t>
      </w:r>
      <w:hyperlink r:id="rId52">
        <w:r>
          <w:rPr>
            <w:rStyle w:val="Hyperlink"/>
            <w:rFonts w:ascii="Times New Roman" w:hAnsi="Times New Roman"/>
            <w:b w:val="false"/>
            <w:i w:val="false"/>
            <w:color w:val="000000"/>
            <w:sz w:val="22"/>
          </w:rPr>
          <w:t>69.30(1)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69.30(5)</w:t>
      </w:r>
      <w:r>
        <w:rPr>
          <w:rFonts w:ascii="Times New Roman" w:hAnsi="Times New Roman"/>
          <w:b w:val="false"/>
          <w:i w:val="false"/>
          <w:color w:val="000000"/>
          <w:sz w:val="22"/>
        </w:rPr>
        <w:t> </w:t>
      </w:r>
      <w:r>
        <w:rPr>
          <w:rFonts w:ascii="Times New Roman" w:hAnsi="Times New Roman"/>
          <w:b w:val="false"/>
          <w:i w:val="false"/>
          <w:color w:val="000000"/>
          <w:sz w:val="22"/>
        </w:rPr>
        <w:t>Dementia-specific training will include hands-on training and any of the following: classroom instruction, web-based training, and case studies of tenants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481—69.31</w:t>
      </w:r>
      <w:r>
        <w:rPr>
          <w:rFonts w:ascii="Times New Roman" w:hAnsi="Times New Roman"/>
          <w:b/>
          <w:i w:val="false"/>
          <w:color w:val="000000"/>
          <w:sz w:val="22"/>
        </w:rPr>
        <w:t xml:space="preserve">(231C) </w:t>
      </w:r>
      <w:r>
        <w:rPr>
          <w:rFonts w:ascii="Times New Roman" w:hAnsi="Times New Roman"/>
          <w:b/>
          <w:i w:val="false"/>
          <w:color w:val="000000"/>
          <w:sz w:val="22"/>
        </w:rPr>
        <w:t xml:space="preserve">Managed risk policy and managed risk consensus agreements. </w:t>
      </w:r>
      <w:r>
        <w:rPr>
          <w:rFonts w:ascii="Times New Roman" w:hAnsi="Times New Roman"/>
          <w:b w:val="false"/>
          <w:i w:val="false"/>
          <w:color w:val="000000"/>
          <w:sz w:val="22"/>
        </w:rPr>
        <w:t>The program shall have a managed risk policy that will be provided to the tenant along with the occupancy agreement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69.31(1)</w:t>
      </w:r>
      <w:r>
        <w:rPr>
          <w:rFonts w:ascii="Times New Roman" w:hAnsi="Times New Roman"/>
          <w:b w:val="false"/>
          <w:i w:val="false"/>
          <w:color w:val="000000"/>
          <w:sz w:val="22"/>
        </w:rPr>
        <w:t> </w:t>
      </w:r>
      <w:r>
        <w:rPr>
          <w:rFonts w:ascii="Times New Roman" w:hAnsi="Times New Roman"/>
          <w:b w:val="false"/>
          <w:i w:val="false"/>
          <w:color w:val="000000"/>
          <w:sz w:val="22"/>
        </w:rPr>
        <w:t>An acknowledgment of the shared responsibility for identifying and meeting the needs of the tenant and the process for managing risk and for upholding tenant autonomy when tenant decision making could result in poor outcomes for the tenant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69.31(2)</w:t>
      </w:r>
      <w:r>
        <w:rPr>
          <w:rFonts w:ascii="Times New Roman" w:hAnsi="Times New Roman"/>
          <w:b w:val="false"/>
          <w:i w:val="false"/>
          <w:color w:val="000000"/>
          <w:sz w:val="22"/>
        </w:rPr>
        <w:t> </w:t>
      </w:r>
      <w:r>
        <w:rPr>
          <w:rFonts w:ascii="Times New Roman" w:hAnsi="Times New Roman"/>
          <w:b w:val="false"/>
          <w:i w:val="false"/>
          <w:color w:val="000000"/>
          <w:sz w:val="22"/>
        </w:rPr>
        <w:t>A consensus-based process to address specific risk situations. Program staff and the tenant will participate in the process. The result of the consensus-based process may be a managed risk consensus agreement that will include the signature of the tenant and all others who participated in the process and be included in the tenant’s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481—69.32</w:t>
      </w:r>
      <w:r>
        <w:rPr>
          <w:rFonts w:ascii="Times New Roman" w:hAnsi="Times New Roman"/>
          <w:b/>
          <w:i w:val="false"/>
          <w:color w:val="000000"/>
          <w:sz w:val="22"/>
        </w:rPr>
        <w:t xml:space="preserve">(231C) </w:t>
      </w:r>
      <w:r>
        <w:rPr>
          <w:rFonts w:ascii="Times New Roman" w:hAnsi="Times New Roman"/>
          <w:b/>
          <w:i w:val="false"/>
          <w:color w:val="000000"/>
          <w:sz w:val="22"/>
        </w:rPr>
        <w:t xml:space="preserve">Life safety—emergency policies and procedures and structural safety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69.32(1)</w:t>
      </w:r>
      <w:r>
        <w:rPr>
          <w:rFonts w:ascii="Times New Roman" w:hAnsi="Times New Roman"/>
          <w:b w:val="false"/>
          <w:i w:val="false"/>
          <w:color w:val="000000"/>
          <w:sz w:val="22"/>
        </w:rPr>
        <w:t> </w:t>
      </w:r>
      <w:r>
        <w:rPr>
          <w:rFonts w:ascii="Times New Roman" w:hAnsi="Times New Roman"/>
          <w:b w:val="false"/>
          <w:i w:val="false"/>
          <w:color w:val="000000"/>
          <w:sz w:val="22"/>
        </w:rPr>
        <w:t>The program shall submit to the department and follow written emergency policies and procedures,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plan with procedures for natural disasters that is located for easy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Fire safety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general or personal emergency procedures, including head injury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for amending or revising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Provisions for periodic training of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fire drills;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Regulations regarding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Monitoring and testing of smoke-control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Tenant evacuation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for reporting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Extraordinary lifesaving measures, such as cardiopulmonary resuscitation (CPR).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69.32(2)</w:t>
      </w:r>
      <w:r>
        <w:rPr>
          <w:rFonts w:ascii="Times New Roman" w:hAnsi="Times New Roman"/>
          <w:b w:val="false"/>
          <w:i w:val="false"/>
          <w:color w:val="000000"/>
          <w:sz w:val="22"/>
        </w:rPr>
        <w:t> </w:t>
      </w:r>
      <w:r>
        <w:rPr>
          <w:rFonts w:ascii="Times New Roman" w:hAnsi="Times New Roman"/>
          <w:b w:val="false"/>
          <w:i w:val="false"/>
          <w:color w:val="000000"/>
          <w:sz w:val="22"/>
        </w:rPr>
        <w:t>An operating alarm system shall be connected to each exit door in a dementia-specific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69.32(3)</w:t>
      </w:r>
      <w:r>
        <w:rPr>
          <w:rFonts w:ascii="Times New Roman" w:hAnsi="Times New Roman"/>
          <w:b w:val="false"/>
          <w:i w:val="false"/>
          <w:color w:val="000000"/>
          <w:sz w:val="22"/>
        </w:rPr>
        <w:t> </w:t>
      </w:r>
      <w:r>
        <w:rPr>
          <w:rFonts w:ascii="Times New Roman" w:hAnsi="Times New Roman"/>
          <w:b w:val="false"/>
          <w:i w:val="false"/>
          <w:color w:val="000000"/>
          <w:sz w:val="22"/>
        </w:rPr>
        <w:t>The program shall obtain approval from the fire safety bureau of the department before the installation of any specialized door locking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69.32(4)</w:t>
      </w:r>
      <w:r>
        <w:rPr>
          <w:rFonts w:ascii="Times New Roman" w:hAnsi="Times New Roman"/>
          <w:b w:val="false"/>
          <w:i w:val="false"/>
          <w:color w:val="000000"/>
          <w:sz w:val="22"/>
        </w:rPr>
        <w:t> </w:t>
      </w:r>
      <w:r>
        <w:rPr>
          <w:rFonts w:ascii="Times New Roman" w:hAnsi="Times New Roman"/>
          <w:b w:val="false"/>
          <w:i w:val="false"/>
          <w:color w:val="000000"/>
          <w:sz w:val="22"/>
        </w:rPr>
        <w:t>A program serving a person(s) with cognitive disorder or dementia shall have written procedures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Alarm systems, if an alarm system is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Appropriate staff response when a tenant’s service plan indicates a risk of elopement or when a tenant exhibits wandering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Appropriate staff response if a tenant with cognitive disorder or dementia is missing.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69.32(5)</w:t>
      </w:r>
      <w:r>
        <w:rPr>
          <w:rFonts w:ascii="Times New Roman" w:hAnsi="Times New Roman"/>
          <w:b w:val="false"/>
          <w:i w:val="false"/>
          <w:color w:val="000000"/>
          <w:sz w:val="22"/>
        </w:rPr>
        <w:t> </w:t>
      </w:r>
      <w:r>
        <w:rPr>
          <w:rFonts w:ascii="Times New Roman" w:hAnsi="Times New Roman"/>
          <w:b w:val="false"/>
          <w:i w:val="false"/>
          <w:color w:val="000000"/>
          <w:sz w:val="22"/>
        </w:rPr>
        <w:t>The program’s structure and procedures and the facility in which a program is located shall meet the requirements adopted for assisted living programs in administrative rules promulgated by the building code and fire safety bureaus. Approval of both bureaus indicating that the building complies with these requirements is necessary for certification of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69.32(6)</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the means to control the maximum temperature of water at sources accessible by a tenant to prevent scalding and control the maximum water temperature for tenants with cognitive impairment or dementia or at a tenant’s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481—69.33</w:t>
      </w:r>
      <w:r>
        <w:rPr>
          <w:rFonts w:ascii="Times New Roman" w:hAnsi="Times New Roman"/>
          <w:b/>
          <w:i w:val="false"/>
          <w:color w:val="000000"/>
          <w:sz w:val="22"/>
        </w:rPr>
        <w:t xml:space="preserve">(231C) </w:t>
      </w:r>
      <w:r>
        <w:rPr>
          <w:rFonts w:ascii="Times New Roman" w:hAnsi="Times New Roman"/>
          <w:b/>
          <w:i w:val="false"/>
          <w:color w:val="000000"/>
          <w:sz w:val="22"/>
        </w:rPr>
        <w:t xml:space="preserve">Transportation. </w:t>
      </w:r>
      <w:r>
        <w:rPr>
          <w:rFonts w:ascii="Times New Roman" w:hAnsi="Times New Roman"/>
          <w:b w:val="false"/>
          <w:i w:val="false"/>
          <w:color w:val="000000"/>
          <w:sz w:val="22"/>
        </w:rPr>
        <w:t>When transportation services are provided directly or under contract with the program,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69.33(1)</w:t>
      </w:r>
      <w:r>
        <w:rPr>
          <w:rFonts w:ascii="Times New Roman" w:hAnsi="Times New Roman"/>
          <w:b w:val="false"/>
          <w:i w:val="false"/>
          <w:color w:val="000000"/>
          <w:sz w:val="22"/>
        </w:rPr>
        <w:t> </w:t>
      </w:r>
      <w:r>
        <w:rPr>
          <w:rFonts w:ascii="Times New Roman" w:hAnsi="Times New Roman"/>
          <w:b w:val="false"/>
          <w:i w:val="false"/>
          <w:color w:val="000000"/>
          <w:sz w:val="22"/>
        </w:rPr>
        <w:t>The vehicle will be accessible and appropriate to the tenants who use it, with consideration for any physical disabilities and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69.33(2)</w:t>
      </w:r>
      <w:r>
        <w:rPr>
          <w:rFonts w:ascii="Times New Roman" w:hAnsi="Times New Roman"/>
          <w:b w:val="false"/>
          <w:i w:val="false"/>
          <w:color w:val="000000"/>
          <w:sz w:val="22"/>
        </w:rPr>
        <w:t> </w:t>
      </w:r>
      <w:r>
        <w:rPr>
          <w:rFonts w:ascii="Times New Roman" w:hAnsi="Times New Roman"/>
          <w:b w:val="false"/>
          <w:i w:val="false"/>
          <w:color w:val="000000"/>
          <w:sz w:val="22"/>
        </w:rPr>
        <w:t>Every tenant transported will have a seat in the vehicle, except for a tenant who remains in a wheelchair during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69.33(3)</w:t>
      </w:r>
      <w:r>
        <w:rPr>
          <w:rFonts w:ascii="Times New Roman" w:hAnsi="Times New Roman"/>
          <w:b w:val="false"/>
          <w:i w:val="false"/>
          <w:color w:val="000000"/>
          <w:sz w:val="22"/>
        </w:rPr>
        <w:t> </w:t>
      </w:r>
      <w:r>
        <w:rPr>
          <w:rFonts w:ascii="Times New Roman" w:hAnsi="Times New Roman"/>
          <w:b w:val="false"/>
          <w:i w:val="false"/>
          <w:color w:val="000000"/>
          <w:sz w:val="22"/>
        </w:rPr>
        <w:t>Vehicles will have adequate seat belts and securing devices for ambulatory and wheelchair-using passengers.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69.33(4)</w:t>
      </w:r>
      <w:r>
        <w:rPr>
          <w:rFonts w:ascii="Times New Roman" w:hAnsi="Times New Roman"/>
          <w:b w:val="false"/>
          <w:i w:val="false"/>
          <w:color w:val="000000"/>
          <w:sz w:val="22"/>
        </w:rPr>
        <w:t> </w:t>
      </w:r>
      <w:r>
        <w:rPr>
          <w:rFonts w:ascii="Times New Roman" w:hAnsi="Times New Roman"/>
          <w:b w:val="false"/>
          <w:i w:val="false"/>
          <w:color w:val="000000"/>
          <w:sz w:val="22"/>
        </w:rPr>
        <w:t>Wheelchairs will be secured when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69.33(5)</w:t>
      </w:r>
      <w:r>
        <w:rPr>
          <w:rFonts w:ascii="Times New Roman" w:hAnsi="Times New Roman"/>
          <w:b w:val="false"/>
          <w:i w:val="false"/>
          <w:color w:val="000000"/>
          <w:sz w:val="22"/>
        </w:rPr>
        <w:t> </w:t>
      </w:r>
      <w:r>
        <w:rPr>
          <w:rFonts w:ascii="Times New Roman" w:hAnsi="Times New Roman"/>
          <w:b w:val="false"/>
          <w:i w:val="false"/>
          <w:color w:val="000000"/>
          <w:sz w:val="22"/>
        </w:rPr>
        <w:t>During loading and unloading of a tenant, the driver will be in the proximate area of the tenants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69.33(6)</w:t>
      </w:r>
      <w:r>
        <w:rPr>
          <w:rFonts w:ascii="Times New Roman" w:hAnsi="Times New Roman"/>
          <w:b w:val="false"/>
          <w:i w:val="false"/>
          <w:color w:val="000000"/>
          <w:sz w:val="22"/>
        </w:rPr>
        <w:t> </w:t>
      </w:r>
      <w:r>
        <w:rPr>
          <w:rFonts w:ascii="Times New Roman" w:hAnsi="Times New Roman"/>
          <w:b w:val="false"/>
          <w:i w:val="false"/>
          <w:color w:val="000000"/>
          <w:sz w:val="22"/>
        </w:rPr>
        <w:t>The driver will have a valid and appropriate Iowa driver’s license or commercial driver’s license as required by law for the vehicle being utilized for transport, or be so licensed in another state. The driver will meet any state or federal requirements for licensure or certification for the vehicle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69.33(7)</w:t>
      </w:r>
      <w:r>
        <w:rPr>
          <w:rFonts w:ascii="Times New Roman" w:hAnsi="Times New Roman"/>
          <w:b w:val="false"/>
          <w:i w:val="false"/>
          <w:color w:val="000000"/>
          <w:sz w:val="22"/>
        </w:rPr>
        <w:t> </w:t>
      </w:r>
      <w:r>
        <w:rPr>
          <w:rFonts w:ascii="Times New Roman" w:hAnsi="Times New Roman"/>
          <w:b w:val="false"/>
          <w:i w:val="false"/>
          <w:color w:val="000000"/>
          <w:sz w:val="22"/>
        </w:rPr>
        <w:t>Each vehicle will have a first-aid kit, fire extinguisher, safety triangles and a device for two-way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481—69.34</w:t>
      </w:r>
      <w:r>
        <w:rPr>
          <w:rFonts w:ascii="Times New Roman" w:hAnsi="Times New Roman"/>
          <w:b/>
          <w:i w:val="false"/>
          <w:color w:val="000000"/>
          <w:sz w:val="22"/>
        </w:rPr>
        <w:t xml:space="preserve">(231C) </w:t>
      </w:r>
      <w:r>
        <w:rPr>
          <w:rFonts w:ascii="Times New Roman" w:hAnsi="Times New Roman"/>
          <w:b/>
          <w:i w:val="false"/>
          <w:color w:val="000000"/>
          <w:sz w:val="22"/>
        </w:rPr>
        <w:t xml:space="preserve">Activities. </w:t>
      </w:r>
      <w:r>
        <w:rPr>
          <w:rFonts w:ascii="Times New Roman" w:hAnsi="Times New Roman"/>
          <w:b w:val="false"/>
          <w:i w:val="false"/>
          <w:color w:val="000000"/>
          <w:sz w:val="22"/>
        </w:rPr>
        <w:t>The program shall have a policy related to activities,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69.34(1)</w:t>
      </w:r>
      <w:r>
        <w:rPr>
          <w:rFonts w:ascii="Times New Roman" w:hAnsi="Times New Roman"/>
          <w:b w:val="false"/>
          <w:i w:val="false"/>
          <w:color w:val="000000"/>
          <w:sz w:val="22"/>
        </w:rPr>
        <w:t> </w:t>
      </w:r>
      <w:r>
        <w:rPr>
          <w:rFonts w:ascii="Times New Roman" w:hAnsi="Times New Roman"/>
          <w:b w:val="false"/>
          <w:i w:val="false"/>
          <w:color w:val="000000"/>
          <w:sz w:val="22"/>
        </w:rPr>
        <w:t>The program will provide appropriate activities for each tenant reflecting individual differences in age, health status, sensory deficits, lifestyle, ethnic and cultural beliefs, religious beliefs, values, experiences, needs, interests, abilities and skills by providing opportunities for a variety of types and levels of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69.34(2)</w:t>
      </w:r>
      <w:r>
        <w:rPr>
          <w:rFonts w:ascii="Times New Roman" w:hAnsi="Times New Roman"/>
          <w:b w:val="false"/>
          <w:i w:val="false"/>
          <w:color w:val="000000"/>
          <w:sz w:val="22"/>
        </w:rPr>
        <w:t> </w:t>
      </w:r>
      <w:r>
        <w:rPr>
          <w:rFonts w:ascii="Times New Roman" w:hAnsi="Times New Roman"/>
          <w:b w:val="false"/>
          <w:i w:val="false"/>
          <w:color w:val="000000"/>
          <w:sz w:val="22"/>
        </w:rPr>
        <w:t>Activities will be planned to support the tenant’s service plan consistent with occupancy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69.34(3)</w:t>
      </w:r>
      <w:r>
        <w:rPr>
          <w:rFonts w:ascii="Times New Roman" w:hAnsi="Times New Roman"/>
          <w:b w:val="false"/>
          <w:i w:val="false"/>
          <w:color w:val="000000"/>
          <w:sz w:val="22"/>
        </w:rPr>
        <w:t> </w:t>
      </w:r>
      <w:r>
        <w:rPr>
          <w:rFonts w:ascii="Times New Roman" w:hAnsi="Times New Roman"/>
          <w:b w:val="false"/>
          <w:i w:val="false"/>
          <w:color w:val="000000"/>
          <w:sz w:val="22"/>
        </w:rPr>
        <w:t>A written schedule of activities will be developed at least monthly and made available to tenants and their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69.34(4)</w:t>
      </w:r>
      <w:r>
        <w:rPr>
          <w:rFonts w:ascii="Times New Roman" w:hAnsi="Times New Roman"/>
          <w:b w:val="false"/>
          <w:i w:val="false"/>
          <w:color w:val="000000"/>
          <w:sz w:val="22"/>
        </w:rPr>
        <w:t> </w:t>
      </w:r>
      <w:r>
        <w:rPr>
          <w:rFonts w:ascii="Times New Roman" w:hAnsi="Times New Roman"/>
          <w:b w:val="false"/>
          <w:i w:val="false"/>
          <w:color w:val="000000"/>
          <w:sz w:val="22"/>
        </w:rPr>
        <w:t>Tenants will be given the opportunity to choose their levels of participation in all activities offered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481—69.35</w:t>
      </w:r>
      <w:r>
        <w:rPr>
          <w:rFonts w:ascii="Times New Roman" w:hAnsi="Times New Roman"/>
          <w:b/>
          <w:i w:val="false"/>
          <w:color w:val="000000"/>
          <w:sz w:val="22"/>
        </w:rPr>
        <w:t xml:space="preserve">(231C) </w:t>
      </w:r>
      <w:r>
        <w:rPr>
          <w:rFonts w:ascii="Times New Roman" w:hAnsi="Times New Roman"/>
          <w:b/>
          <w:i w:val="false"/>
          <w:color w:val="000000"/>
          <w:sz w:val="22"/>
        </w:rPr>
        <w:t xml:space="preserve">Structural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structure of the program will be designed and operated to meet the needs of the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buildings and grounds will be well-maintained, clean, safe and sanitary.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Programs will have private dwelling units with a single-action, lockable entrance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program serving persons with cognitive impairment or dementia, whether in a general or dementia-specific setting, will have the means to disable or remove the lock on an entrance door and disable or remove the lock if its presence presents a danger to the health and safety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structure in which a program is housed shall comply with the administrative rules promulgated by the building code and fire safety bureaus.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Programs may have individual cooking facilities within the private dwelling units. Any program serving persons with cognitive impairment or dementia, whether in a general or dementia-specific setting, will have the means to disable or easily remove appliances and disable or remove them if their presence presents a danger to the health and safety of the tenant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69.35(2)</w:t>
      </w:r>
      <w:r>
        <w:rPr>
          <w:rFonts w:ascii="Times New Roman" w:hAnsi="Times New Roman"/>
          <w:b w:val="false"/>
          <w:i w:val="false"/>
          <w:color w:val="000000"/>
          <w:sz w:val="22"/>
        </w:rPr>
        <w:t> </w:t>
      </w:r>
      <w:r>
        <w:rPr>
          <w:rFonts w:ascii="Times New Roman" w:hAnsi="Times New Roman"/>
          <w:b w:val="false"/>
          <w:i/>
          <w:color w:val="000000"/>
          <w:sz w:val="22"/>
        </w:rPr>
        <w:t xml:space="preserve">Programs certified prior to July 4, 2001. </w:t>
      </w:r>
      <w:r>
        <w:rPr>
          <w:rFonts w:ascii="Times New Roman" w:hAnsi="Times New Roman"/>
          <w:b w:val="false"/>
          <w:i w:val="false"/>
          <w:color w:val="000000"/>
          <w:sz w:val="22"/>
        </w:rPr>
        <w:t>Facilities for programs certified prior to July 4, 2001,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at least one room that will have not less than 120 square feet of floor area. Other habitable rooms will have an area of not less than 70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not less than 190 square feet of floor area, excluding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dwelling unit used for double occupancy will have not less than 290 square feet of floor area, excluding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will have a minimum of 15 square feet of common area per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69.35(3)</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built on or after July 4, 2001. </w:t>
      </w:r>
      <w:r>
        <w:rPr>
          <w:rFonts w:ascii="Times New Roman" w:hAnsi="Times New Roman"/>
          <w:b w:val="false"/>
          <w:i w:val="false"/>
          <w:color w:val="000000"/>
          <w:sz w:val="22"/>
        </w:rPr>
        <w:t>Programs operated in new construction built on or after July 4, 2001,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at least one room that will have not less than 120 square feet of floor area. Other habitable rooms will have an area of not less than 70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single occupancy will have a total square footage of not less than 240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dwelling unit used for double occupancy will have a total square footage of not less than 340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contain a bathroom, including a toilet, sink and bathing facilities. A program serving persons with cognitive impairment or dementia, whether in a general or dementia-specific setting, will have the means to disable or remove the sink or bathing facility water control and will disable or remove the water control if its presence presents a danger to the health and safety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Self-closing doors are not required for individual dwelling units, whether in a general or dementia-specific setting, unless the authority with jurisdiction determines that the level of hazard has increased to require the installation of closure hardware (for example, presence of a stove, range or oven).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69.35(4)</w:t>
      </w:r>
      <w:r>
        <w:rPr>
          <w:rFonts w:ascii="Times New Roman" w:hAnsi="Times New Roman"/>
          <w:b w:val="false"/>
          <w:i w:val="false"/>
          <w:color w:val="000000"/>
          <w:sz w:val="22"/>
        </w:rPr>
        <w:t> </w:t>
      </w:r>
      <w:r>
        <w:rPr>
          <w:rFonts w:ascii="Times New Roman" w:hAnsi="Times New Roman"/>
          <w:b w:val="false"/>
          <w:i/>
          <w:color w:val="000000"/>
          <w:sz w:val="22"/>
        </w:rPr>
        <w:t xml:space="preserve">Structure being converted to or remodeled for use by a program on or after July 4, 2001. </w:t>
      </w:r>
      <w:r>
        <w:rPr>
          <w:rFonts w:ascii="Times New Roman" w:hAnsi="Times New Roman"/>
          <w:b w:val="false"/>
          <w:i w:val="false"/>
          <w:color w:val="000000"/>
          <w:sz w:val="22"/>
        </w:rPr>
        <w:t>A program operating in a structure that was converted or remodeled for use for a program on or after July 4, 2001,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at least one room that has not less than 120 square feet of floor area. Other habitable rooms will have an area of not less than 70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single occupancy will have a total square footage of not less than 190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dwelling unit used for double occupancy will have a total square footage of not less than 290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a bathroom, including a toilet, sink and bathing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481—69.36</w:t>
      </w:r>
      <w:r>
        <w:rPr>
          <w:rFonts w:ascii="Times New Roman" w:hAnsi="Times New Roman"/>
          <w:b/>
          <w:i w:val="false"/>
          <w:color w:val="000000"/>
          <w:sz w:val="22"/>
        </w:rPr>
        <w:t xml:space="preserve">(231C) </w:t>
      </w:r>
      <w:r>
        <w:rPr>
          <w:rFonts w:ascii="Times New Roman" w:hAnsi="Times New Roman"/>
          <w:b/>
          <w:i w:val="false"/>
          <w:color w:val="000000"/>
          <w:sz w:val="22"/>
        </w:rPr>
        <w:t xml:space="preserve">Dwelling units in dementia-specific programs. </w:t>
      </w:r>
      <w:r>
        <w:rPr>
          <w:rFonts w:ascii="Times New Roman" w:hAnsi="Times New Roman"/>
          <w:b w:val="false"/>
          <w:i w:val="false"/>
          <w:color w:val="000000"/>
          <w:sz w:val="22"/>
        </w:rPr>
        <w:t xml:space="preserve">Dementia-specific programs are exempt from the requirements in subrules </w:t>
      </w:r>
      <w:hyperlink r:id="rId53">
        <w:r>
          <w:rPr>
            <w:rStyle w:val="Hyperlink"/>
            <w:rFonts w:ascii="Times New Roman" w:hAnsi="Times New Roman"/>
            <w:b w:val="false"/>
            <w:i w:val="false"/>
            <w:color w:val="000000"/>
            <w:sz w:val="22"/>
          </w:rPr>
          <w:t>69.35(2)</w:t>
        </w:r>
      </w:hyperlink>
      <w:r>
        <w:rPr>
          <w:rFonts w:ascii="Times New Roman" w:hAnsi="Times New Roman"/>
          <w:b w:val="false"/>
          <w:i w:val="false"/>
          <w:color w:val="000000"/>
          <w:sz w:val="22"/>
        </w:rPr>
        <w:t xml:space="preserve"> through </w:t>
      </w:r>
      <w:hyperlink r:id="rId54">
        <w:r>
          <w:rPr>
            <w:rStyle w:val="Hyperlink"/>
            <w:rFonts w:ascii="Times New Roman" w:hAnsi="Times New Roman"/>
            <w:b w:val="false"/>
            <w:i w:val="false"/>
            <w:color w:val="000000"/>
            <w:sz w:val="22"/>
          </w:rPr>
          <w:t>69.35(4)</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69.36(1)</w:t>
      </w:r>
      <w:r>
        <w:rPr>
          <w:rFonts w:ascii="Times New Roman" w:hAnsi="Times New Roman"/>
          <w:b w:val="false"/>
          <w:i w:val="false"/>
          <w:color w:val="000000"/>
          <w:sz w:val="22"/>
        </w:rPr>
        <w:t> </w:t>
      </w:r>
      <w:r>
        <w:rPr>
          <w:rFonts w:ascii="Times New Roman" w:hAnsi="Times New Roman"/>
          <w:b w:val="false"/>
          <w:i w:val="false"/>
          <w:color w:val="000000"/>
          <w:sz w:val="22"/>
        </w:rPr>
        <w:t>For a program built in a family or neighborhood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single occupancy will have a total square footage of not less than 150 square feet of floor area, excluding a bathroom;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double occupancy will have a total square footage of not less than 250 square feet of floor area, excluding a bathroom.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69.36(2)</w:t>
      </w:r>
      <w:r>
        <w:rPr>
          <w:rFonts w:ascii="Times New Roman" w:hAnsi="Times New Roman"/>
          <w:b w:val="false"/>
          <w:i w:val="false"/>
          <w:color w:val="000000"/>
          <w:sz w:val="22"/>
        </w:rPr>
        <w:t> </w:t>
      </w:r>
      <w:r>
        <w:rPr>
          <w:rFonts w:ascii="Times New Roman" w:hAnsi="Times New Roman"/>
          <w:b w:val="false"/>
          <w:i w:val="false"/>
          <w:color w:val="000000"/>
          <w:sz w:val="22"/>
        </w:rPr>
        <w:t>Dementia-specific programs may choose not to provide bathing facilities in the dwelling units.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481—69.37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481—69.38</w:t>
      </w:r>
      <w:r>
        <w:rPr>
          <w:rFonts w:ascii="Times New Roman" w:hAnsi="Times New Roman"/>
          <w:b/>
          <w:i w:val="false"/>
          <w:color w:val="000000"/>
          <w:sz w:val="22"/>
        </w:rPr>
        <w:t xml:space="preserve">(83GA,SF203) </w:t>
      </w:r>
      <w:r>
        <w:rPr>
          <w:rFonts w:ascii="Times New Roman" w:hAnsi="Times New Roman"/>
          <w:b/>
          <w:i w:val="false"/>
          <w:color w:val="000000"/>
          <w:sz w:val="22"/>
        </w:rPr>
        <w:t xml:space="preserve">Identification of veteran’s benefit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tenant’s admission to an assisted living program that receives reimbursement through the medical assistance program under Iowa Code chapter </w:t>
      </w:r>
      <w:hyperlink r:id="rId5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program shall ask the tenant or the tenant’s personal representative whether the tenant is a veteran or whether the tenant is the spouse, widow, or dependent of a veteran and document the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69.38(2)</w:t>
      </w:r>
      <w:r>
        <w:rPr>
          <w:rFonts w:ascii="Times New Roman" w:hAnsi="Times New Roman"/>
          <w:b w:val="false"/>
          <w:i w:val="false"/>
          <w:color w:val="000000"/>
          <w:sz w:val="22"/>
        </w:rPr>
        <w:t> </w:t>
      </w:r>
      <w:r>
        <w:rPr>
          <w:rFonts w:ascii="Times New Roman" w:hAnsi="Times New Roman"/>
          <w:b w:val="false"/>
          <w:i w:val="false"/>
          <w:color w:val="000000"/>
          <w:sz w:val="22"/>
        </w:rPr>
        <w:t>If the tenant may be a veteran or the spouse, widow, or dependent of a veteran, the program shall report the tenant’s name along with the name of the veteran, if applicable, as well as the name of the contact person for this information, to the department of veterans affairs. The program may report such information to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tenant is eligible for benefits through the U.S. Department of Veterans Affairs or other third-party payor, the program first shall seek reimbursement from the identified payor source before seeking reimbursement from the medical assistance program established under Iowa Code chapter </w:t>
      </w:r>
      <w:hyperlink r:id="rId5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481—69.39</w:t>
      </w:r>
      <w:r>
        <w:rPr>
          <w:rFonts w:ascii="Times New Roman" w:hAnsi="Times New Roman"/>
          <w:b/>
          <w:i w:val="false"/>
          <w:color w:val="000000"/>
          <w:sz w:val="22"/>
        </w:rPr>
        <w:t xml:space="preserve">(231C)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“Respite care services” means an organized program of temporary supportive care provided for 24 hours or more to a person in order to relieve the usual caregiver of the person from providing continual care to the person, or on request of the tenant as a trial of the program. An assisted living program that chooses to provide respite care services must meet the following requirements related to respite care services and be certified as an assisted living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69.39(1)</w:t>
      </w:r>
      <w:r>
        <w:rPr>
          <w:rFonts w:ascii="Times New Roman" w:hAnsi="Times New Roman"/>
          <w:b w:val="false"/>
          <w:i w:val="false"/>
          <w:color w:val="000000"/>
          <w:sz w:val="22"/>
        </w:rPr>
        <w:t> </w:t>
      </w:r>
      <w:r>
        <w:rPr>
          <w:rFonts w:ascii="Times New Roman" w:hAnsi="Times New Roman"/>
          <w:b w:val="false"/>
          <w:i/>
          <w:color w:val="000000"/>
          <w:sz w:val="22"/>
        </w:rPr>
        <w:t xml:space="preserve">Length of stay. </w:t>
      </w:r>
      <w:r>
        <w:rPr>
          <w:rFonts w:ascii="Times New Roman" w:hAnsi="Times New Roman"/>
          <w:b w:val="false"/>
          <w:i w:val="false"/>
          <w:color w:val="000000"/>
          <w:sz w:val="22"/>
        </w:rPr>
        <w:t>Respite care services will be provided for no more than 30 consecutive days and for a total of no more than 60 days in a consecutive 12-month period beginning on the first day the individual stays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69.39(2)</w:t>
      </w:r>
      <w:r>
        <w:rPr>
          <w:rFonts w:ascii="Times New Roman" w:hAnsi="Times New Roman"/>
          <w:b w:val="false"/>
          <w:i w:val="false"/>
          <w:color w:val="000000"/>
          <w:sz w:val="22"/>
        </w:rPr>
        <w:t> </w:t>
      </w:r>
      <w:r>
        <w:rPr>
          <w:rFonts w:ascii="Times New Roman" w:hAnsi="Times New Roman"/>
          <w:b w:val="false"/>
          <w:i/>
          <w:color w:val="000000"/>
          <w:sz w:val="22"/>
        </w:rPr>
        <w:t xml:space="preserve">No separate certificate. </w:t>
      </w:r>
      <w:r>
        <w:rPr>
          <w:rFonts w:ascii="Times New Roman" w:hAnsi="Times New Roman"/>
          <w:b w:val="false"/>
          <w:i w:val="false"/>
          <w:color w:val="000000"/>
          <w:sz w:val="22"/>
        </w:rPr>
        <w:t>An assisted living program that chooses to provide respite care services is not required to obtain a separate certificate or pay a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69.39(3)</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program nurse will assess the individual prior to the individual’s stay and will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and supervision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Dietary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Bowel and bladder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69.39(4)</w:t>
      </w:r>
      <w:r>
        <w:rPr>
          <w:rFonts w:ascii="Times New Roman" w:hAnsi="Times New Roman"/>
          <w:b w:val="false"/>
          <w:i w:val="false"/>
          <w:color w:val="000000"/>
          <w:sz w:val="22"/>
        </w:rPr>
        <w:t> </w:t>
      </w:r>
      <w:r>
        <w:rPr>
          <w:rFonts w:ascii="Times New Roman" w:hAnsi="Times New Roman"/>
          <w:b w:val="false"/>
          <w:i/>
          <w:color w:val="000000"/>
          <w:sz w:val="22"/>
        </w:rPr>
        <w:t xml:space="preserve">Written direction to staff. </w:t>
      </w:r>
      <w:r>
        <w:rPr>
          <w:rFonts w:ascii="Times New Roman" w:hAnsi="Times New Roman"/>
          <w:b w:val="false"/>
          <w:i w:val="false"/>
          <w:color w:val="000000"/>
          <w:sz w:val="22"/>
        </w:rPr>
        <w:t xml:space="preserve">The program nurse will document the care needs of the individual based on the assessment conducted pursuant to subrule </w:t>
      </w:r>
      <w:hyperlink r:id="rId57">
        <w:r>
          <w:rPr>
            <w:rStyle w:val="Hyperlink"/>
            <w:rFonts w:ascii="Times New Roman" w:hAnsi="Times New Roman"/>
            <w:b w:val="false"/>
            <w:i w:val="false"/>
            <w:color w:val="000000"/>
            <w:sz w:val="22"/>
          </w:rPr>
          <w:t>69.39(3)</w:t>
        </w:r>
      </w:hyperlink>
      <w:r>
        <w:rPr>
          <w:rFonts w:ascii="Times New Roman" w:hAnsi="Times New Roman"/>
          <w:b w:val="false"/>
          <w:i w:val="false"/>
          <w:color w:val="000000"/>
          <w:sz w:val="22"/>
        </w:rPr>
        <w:t xml:space="preserve"> and provide the documentation to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69.39(5)</w:t>
      </w:r>
      <w:r>
        <w:rPr>
          <w:rFonts w:ascii="Times New Roman" w:hAnsi="Times New Roman"/>
          <w:b w:val="false"/>
          <w:i w:val="false"/>
          <w:color w:val="000000"/>
          <w:sz w:val="22"/>
        </w:rPr>
        <w:t> </w:t>
      </w:r>
      <w:r>
        <w:rPr>
          <w:rFonts w:ascii="Times New Roman" w:hAnsi="Times New Roman"/>
          <w:b w:val="false"/>
          <w:i/>
          <w:color w:val="000000"/>
          <w:sz w:val="22"/>
        </w:rPr>
        <w:t xml:space="preserve">Involuntary termination of respite care services. </w:t>
      </w:r>
      <w:r>
        <w:rPr>
          <w:rFonts w:ascii="Times New Roman" w:hAnsi="Times New Roman"/>
          <w:b w:val="false"/>
          <w:i w:val="false"/>
          <w:color w:val="000000"/>
          <w:sz w:val="22"/>
        </w:rPr>
        <w:t xml:space="preserve">The program may terminate the respite care services for the individual. Rule </w:t>
      </w:r>
      <w:hyperlink r:id="rId58">
        <w:r>
          <w:rPr>
            <w:rStyle w:val="Hyperlink"/>
            <w:rFonts w:ascii="Times New Roman" w:hAnsi="Times New Roman"/>
            <w:b w:val="false"/>
            <w:i w:val="false"/>
            <w:color w:val="000000"/>
            <w:sz w:val="22"/>
          </w:rPr>
          <w:t>481—69.24</w:t>
        </w:r>
      </w:hyperlink>
      <w:r>
        <w:rPr>
          <w:rFonts w:ascii="Times New Roman" w:hAnsi="Times New Roman"/>
          <w:b w:val="false"/>
          <w:i w:val="false"/>
          <w:color w:val="000000"/>
          <w:sz w:val="22"/>
        </w:rPr>
        <w:t>(231C) will not apply. The program will make proper arrangements for the welfare of the individual prior to involuntary termination of respite care services, including notification of the individual’s family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69.39(6)</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The program will have a contract with each individual,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period during which the individual will be considered to be receiving respite care services, not to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all fees, charges, and rates for respite care services, and any additional and optional services and their related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respite care services may be involuntarily terminated. Rule </w:t>
      </w:r>
      <w:hyperlink r:id="rId59">
        <w:r>
          <w:rPr>
            <w:rStyle w:val="Hyperlink"/>
            <w:rFonts w:ascii="Times New Roman" w:hAnsi="Times New Roman"/>
            <w:b w:val="false"/>
            <w:i w:val="false"/>
            <w:color w:val="000000"/>
            <w:sz w:val="22"/>
          </w:rPr>
          <w:t>481—69.24</w:t>
        </w:r>
      </w:hyperlink>
      <w:r>
        <w:rPr>
          <w:rFonts w:ascii="Times New Roman" w:hAnsi="Times New Roman"/>
          <w:b w:val="false"/>
          <w:i w:val="false"/>
          <w:color w:val="000000"/>
          <w:sz w:val="22"/>
        </w:rPr>
        <w:t>(231C) will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responsible for payment of fees and identification of the respite care individual’s legal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emergency contacts, including but not limited to the individual’s family member(s) and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all individual information will be maintained in a confidential manner to the extent required under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refund policy,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regarding billing and payment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69.39(7)</w:t>
      </w:r>
      <w:r>
        <w:rPr>
          <w:rFonts w:ascii="Times New Roman" w:hAnsi="Times New Roman"/>
          <w:b w:val="false"/>
          <w:i w:val="false"/>
          <w:color w:val="000000"/>
          <w:sz w:val="22"/>
        </w:rPr>
        <w:t> </w:t>
      </w:r>
      <w:r>
        <w:rPr>
          <w:rFonts w:ascii="Times New Roman" w:hAnsi="Times New Roman"/>
          <w:b w:val="false"/>
          <w:i/>
          <w:color w:val="000000"/>
          <w:sz w:val="22"/>
        </w:rPr>
        <w:t xml:space="preserve">Admission to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receiving respite care will not be considered an admission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receiving respite care will be included in the program’s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will not enter into multiple 30-day contracts with an individual receiving respite care in order to lengthen the individual’s stay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individual receiving respite care remains in the program beyond 30 consecutive days and is eligible for admission, the department will consider the individual a tenant in the program. The program will follow all requirements for admission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69.39(8)</w:t>
      </w:r>
      <w:r>
        <w:rPr>
          <w:rFonts w:ascii="Times New Roman" w:hAnsi="Times New Roman"/>
          <w:b w:val="false"/>
          <w:i w:val="false"/>
          <w:color w:val="000000"/>
          <w:sz w:val="22"/>
        </w:rPr>
        <w:t> </w:t>
      </w:r>
      <w:r>
        <w:rPr>
          <w:rFonts w:ascii="Times New Roman" w:hAnsi="Times New Roman"/>
          <w:b w:val="false"/>
          <w:i/>
          <w:color w:val="000000"/>
          <w:sz w:val="22"/>
        </w:rPr>
        <w:t xml:space="preserve">Level of care criteria. </w:t>
      </w:r>
      <w:r>
        <w:rPr>
          <w:rFonts w:ascii="Times New Roman" w:hAnsi="Times New Roman"/>
          <w:b w:val="false"/>
          <w:i w:val="false"/>
          <w:color w:val="000000"/>
          <w:sz w:val="22"/>
        </w:rPr>
        <w:t xml:space="preserve">Individuals receiving respite care must meet the criteria found in subrule </w:t>
      </w:r>
      <w:hyperlink r:id="rId60">
        <w:r>
          <w:rPr>
            <w:rStyle w:val="Hyperlink"/>
            <w:rFonts w:ascii="Times New Roman" w:hAnsi="Times New Roman"/>
            <w:b w:val="false"/>
            <w:i w:val="false"/>
            <w:color w:val="000000"/>
            <w:sz w:val="22"/>
          </w:rPr>
          <w:t>69.23(1)</w:t>
        </w:r>
      </w:hyperlink>
      <w:r>
        <w:rPr>
          <w:rFonts w:ascii="Times New Roman" w:hAnsi="Times New Roman"/>
          <w:b w:val="false"/>
          <w:i w:val="false"/>
          <w:color w:val="000000"/>
          <w:sz w:val="22"/>
        </w:rPr>
        <w:t xml:space="preserve"> for admission and retention of tenants. Respite care services will not be provided by an assisted living program to persons requiring a level of care that is higher than the level of care the program is certified to provide.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69.39(9)</w:t>
      </w:r>
      <w:r>
        <w:rPr>
          <w:rFonts w:ascii="Times New Roman" w:hAnsi="Times New Roman"/>
          <w:b w:val="false"/>
          <w:i w:val="false"/>
          <w:color w:val="000000"/>
          <w:sz w:val="22"/>
        </w:rPr>
        <w:t> </w:t>
      </w:r>
      <w:r>
        <w:rPr>
          <w:rFonts w:ascii="Times New Roman" w:hAnsi="Times New Roman"/>
          <w:b w:val="false"/>
          <w:i/>
          <w:color w:val="000000"/>
          <w:sz w:val="22"/>
        </w:rPr>
        <w:t xml:space="preserve">Accessibility by the department. </w:t>
      </w:r>
      <w:r>
        <w:rPr>
          <w:rFonts w:ascii="Times New Roman" w:hAnsi="Times New Roman"/>
          <w:b w:val="false"/>
          <w:i w:val="false"/>
          <w:color w:val="000000"/>
          <w:sz w:val="22"/>
        </w:rPr>
        <w:t xml:space="preserve">The department shall have the same access to respite care services records as provided in </w:t>
      </w:r>
      <w:hyperlink r:id="rId61">
        <w:r>
          <w:rPr>
            <w:rStyle w:val="Hyperlink"/>
            <w:rFonts w:ascii="Times New Roman" w:hAnsi="Times New Roman"/>
            <w:b w:val="false"/>
            <w:i w:val="false"/>
            <w:color w:val="000000"/>
            <w:sz w:val="22"/>
          </w:rPr>
          <w:t>481—subrule 67.10(2)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2">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Table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drawing>
          <wp:inline distT="0" distB="0" distL="0" distR="0">
            <wp:extent cx="5063014" cy="632775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63"/>
                    <a:stretch>
                      <a:fillRect/>
                    </a:stretch>
                  </pic:blipFill>
                  <pic:spPr>
                    <a:xfrm>
                      <a:off x="0" y="0"/>
                      <a:ext cx="5063014" cy="6327750"/>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ARC 8176B</w:t>
      </w:r>
      <w:r>
        <w:rPr>
          <w:rFonts w:ascii="Times New Roman" w:hAnsi="Times New Roman"/>
          <w:b w:val="false"/>
          <w:i w:val="false"/>
          <w:color w:val="000000"/>
          <w:sz w:val="21"/>
        </w:rPr>
        <w:t xml:space="preserve"> (Notice ARC 7878B, IAB 6/17/09)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1376C</w:t>
      </w:r>
      <w:r>
        <w:rPr>
          <w:rFonts w:ascii="Times New Roman" w:hAnsi="Times New Roman"/>
          <w:b w:val="false"/>
          <w:i w:val="false"/>
          <w:color w:val="000000"/>
          <w:sz w:val="21"/>
        </w:rPr>
        <w:t xml:space="preserve"> (Notice ARC 1291C, IAB 1/22/14)</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1667C</w:t>
      </w:r>
      <w:r>
        <w:rPr>
          <w:rFonts w:ascii="Times New Roman" w:hAnsi="Times New Roman"/>
          <w:b w:val="false"/>
          <w:i w:val="false"/>
          <w:color w:val="000000"/>
          <w:sz w:val="21"/>
        </w:rPr>
        <w:t xml:space="preserve"> (Notice ARC 1511C, IAB 6/25/14)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1927C</w:t>
      </w:r>
      <w:r>
        <w:rPr>
          <w:rFonts w:ascii="Times New Roman" w:hAnsi="Times New Roman"/>
          <w:b w:val="false"/>
          <w:i w:val="false"/>
          <w:color w:val="000000"/>
          <w:sz w:val="21"/>
        </w:rPr>
        <w:t xml:space="preserve"> (Notice ARC 1860C,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2463C</w:t>
      </w:r>
      <w:r>
        <w:rPr>
          <w:rFonts w:ascii="Times New Roman" w:hAnsi="Times New Roman"/>
          <w:b w:val="false"/>
          <w:i w:val="false"/>
          <w:color w:val="000000"/>
          <w:sz w:val="21"/>
        </w:rPr>
        <w:t xml:space="preserve"> (Notice ARC 2200C, IAB 10/14/15)</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6054C</w:t>
      </w:r>
      <w:r>
        <w:rPr>
          <w:rFonts w:ascii="Times New Roman" w:hAnsi="Times New Roman"/>
          <w:b w:val="false"/>
          <w:i w:val="false"/>
          <w:color w:val="000000"/>
          <w:sz w:val="21"/>
        </w:rPr>
        <w:t xml:space="preserve"> (Notice ARC 5920C, IAB 9/22/21)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0065D</w:t>
      </w:r>
      <w:r>
        <w:rPr>
          <w:rFonts w:ascii="Times New Roman" w:hAnsi="Times New Roman"/>
          <w:b w:val="false"/>
          <w:i w:val="false"/>
          <w:color w:val="000000"/>
          <w:sz w:val="21"/>
        </w:rPr>
        <w:t xml:space="preserve"> (Notice ARC 9783C, IAB 12/10/25)</w:t>
      </w:r>
      <w:r>
        <w:rPr>
          <w:rFonts w:ascii="Times New Roman" w:hAnsi="Times New Roman"/>
          <w:b w:val="false"/>
          <w:i w:val="false"/>
          <w:color w:val="000000"/>
          <w:sz w:val="21"/>
        </w:rPr>
        <w:t>, IAB 2/4/26, effective 3/11/26]</w:t>
      </w:r>
    </w:p>
    <w:p>
      <w:pPr>
        <w:spacing w:before="0" w:after="0"/>
        <w:ind w:left="120"/>
        <w:jc w:val="center"/>
      </w:pPr>
      <w:r>
        <w:rPr>
          <w:rFonts w:ascii="Times New Roman" w:hAnsi="Times New Roman"/>
          <w:b w:val="false"/>
          <w:i w:val="false"/>
          <w:color w:val="000000"/>
          <w:sz w:val="21"/>
        </w:rPr>
        <w:t>[Editorial change: IAC Supplement 6/10/26]</w:t>
      </w:r>
    </w:p>
    <w:sectPr>
      <w:footerReference r:id="rId6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7.pdf" Type="http://schemas.openxmlformats.org/officeDocument/2006/relationships/hyperlink" Id="rId5"/>
    <Relationship TargetMode="External" Target="https://www.legis.iowa.gov/docs/ico/chapter/231C.pdf" Type="http://schemas.openxmlformats.org/officeDocument/2006/relationships/hyperlink" Id="rId6"/>
    <Relationship TargetMode="External" Target="https://www.legis.iowa.gov/docs/ico/chapter/231C.pdf" Type="http://schemas.openxmlformats.org/officeDocument/2006/relationships/hyperlink" Id="rId7"/>
    <Relationship TargetMode="External" Target="https://www.legis.iowa.gov/docs/iac/chapter/481.67.pdf" Type="http://schemas.openxmlformats.org/officeDocument/2006/relationships/hyperlink" Id="rId8"/>
    <Relationship TargetMode="External" Target="https://www.legis.iowa.gov/docs/ico/chapter/137F.pdf" Type="http://schemas.openxmlformats.org/officeDocument/2006/relationships/hyperlink" Id="rId9"/>
    <Relationship TargetMode="External" Target="https://www.legis.iowa.gov/docs/iac/rule/481.69.30.pdf" Type="http://schemas.openxmlformats.org/officeDocument/2006/relationships/hyperlink" Id="rId10"/>
    <Relationship TargetMode="External" Target="https://www.legis.iowa.gov/docs/iac/rule/481.69.29.pdf" Type="http://schemas.openxmlformats.org/officeDocument/2006/relationships/hyperlink" Id="rId11"/>
    <Relationship TargetMode="External" Target="https://www.legis.iowa.gov/docs/iac/rule/481.69.29.pdf" Type="http://schemas.openxmlformats.org/officeDocument/2006/relationships/hyperlink" Id="rId12"/>
    <Relationship TargetMode="External" Target="https://www.legis.iowa.gov/docs/iac/rule/481.69.32.pdf" Type="http://schemas.openxmlformats.org/officeDocument/2006/relationships/hyperlink" Id="rId13"/>
    <Relationship TargetMode="External" Target="https://www.legis.iowa.gov/docs/iac/rule/481.69.32.pdf" Type="http://schemas.openxmlformats.org/officeDocument/2006/relationships/hyperlink" Id="rId14"/>
    <Relationship TargetMode="External" Target="https://www.legis.iowa.gov/docs/iac/rule/481.69.35.pdf" Type="http://schemas.openxmlformats.org/officeDocument/2006/relationships/hyperlink" Id="rId15"/>
    <Relationship TargetMode="External" Target="http://dia-hfd.iowa.gov" Type="http://schemas.openxmlformats.org/officeDocument/2006/relationships/hyperlink" Id="rId16"/>
    <Relationship TargetMode="External" Target="https://www.legis.iowa.gov/docs/iac/rule/481.69.4.pdf" Type="http://schemas.openxmlformats.org/officeDocument/2006/relationships/hyperlink" Id="rId17"/>
    <Relationship TargetMode="External" Target="https://www.legis.iowa.gov/docs/iac/rule/481.69.4.pdf" Type="http://schemas.openxmlformats.org/officeDocument/2006/relationships/hyperlink" Id="rId18"/>
    <Relationship TargetMode="External" Target="https://www.legis.iowa.gov/docs/ico/chapter/231C.10.pdf" Type="http://schemas.openxmlformats.org/officeDocument/2006/relationships/hyperlink" Id="rId19"/>
    <Relationship TargetMode="External" Target="https://www.legis.iowa.gov/docs/ico/chapter/135C.1.pdf" Type="http://schemas.openxmlformats.org/officeDocument/2006/relationships/hyperlink" Id="rId20"/>
    <Relationship TargetMode="External" Target="https://www.legis.iowa.gov/docs/ico/chapter/135B.1.pdf" Type="http://schemas.openxmlformats.org/officeDocument/2006/relationships/hyperlink" Id="rId21"/>
    <Relationship TargetMode="External" Target="https://www.legis.iowa.gov/docs/ico/chapter/231C.18.pdf" Type="http://schemas.openxmlformats.org/officeDocument/2006/relationships/hyperlink" Id="rId22"/>
    <Relationship TargetMode="External" Target="https://www.legis.iowa.gov/docs/iac/rule/481.67.10.pdf" Type="http://schemas.openxmlformats.org/officeDocument/2006/relationships/hyperlink" Id="rId23"/>
    <Relationship TargetMode="External" Target="https://www.legis.iowa.gov/docs/ico/chapter/231C.18.pdf" Type="http://schemas.openxmlformats.org/officeDocument/2006/relationships/hyperlink" Id="rId24"/>
    <Relationship TargetMode="External" Target="http://dia-hfd.iowa.gov" Type="http://schemas.openxmlformats.org/officeDocument/2006/relationships/hyperlink" Id="rId25"/>
    <Relationship TargetMode="External" Target="https://www.legis.iowa.gov/docs/ico/chapter/231C.18.pdf" Type="http://schemas.openxmlformats.org/officeDocument/2006/relationships/hyperlink" Id="rId26"/>
    <Relationship TargetMode="External" Target="https://www.legis.iowa.gov/docs/iac/rule/481.69.3.pdf" Type="http://schemas.openxmlformats.org/officeDocument/2006/relationships/hyperlink" Id="rId27"/>
    <Relationship TargetMode="External" Target="https://www.legis.iowa.gov/docs/iac/rule/481.67.13.pdf" Type="http://schemas.openxmlformats.org/officeDocument/2006/relationships/hyperlink" Id="rId28"/>
    <Relationship TargetMode="External" Target="https://www.legis.iowa.gov/docs/iac/rule/481.69.9.pdf" Type="http://schemas.openxmlformats.org/officeDocument/2006/relationships/hyperlink" Id="rId29"/>
    <Relationship TargetMode="External" Target="https://www.legis.iowa.gov/docs/iac/rule/481.67.14.pdf" Type="http://schemas.openxmlformats.org/officeDocument/2006/relationships/hyperlink" Id="rId30"/>
    <Relationship TargetMode="External" Target="http://dia-hfd.iowa.gov" Type="http://schemas.openxmlformats.org/officeDocument/2006/relationships/hyperlink" Id="rId31"/>
    <Relationship TargetMode="External" Target="https://www.legis.iowa.gov/docs/iac/rule/481.69.15.pdf" Type="http://schemas.openxmlformats.org/officeDocument/2006/relationships/hyperlink" Id="rId32"/>
    <Relationship TargetMode="External" Target="https://www.legis.iowa.gov/docs/ico/chapter/231C.pdf" Type="http://schemas.openxmlformats.org/officeDocument/2006/relationships/hyperlink" Id="rId33"/>
    <Relationship TargetMode="External" Target="https://www.legis.iowa.gov/docs/iac/chapter/481.67.pdf" Type="http://schemas.openxmlformats.org/officeDocument/2006/relationships/hyperlink" Id="rId34"/>
    <Relationship TargetMode="External" Target="http://dial.iowa.gov/licenses/building/plan-review" Type="http://schemas.openxmlformats.org/officeDocument/2006/relationships/hyperlink" Id="rId35"/>
    <Relationship TargetMode="External" Target="https://www.legis.iowa.gov/docs/iac/rule/481.69.18.pdf" Type="http://schemas.openxmlformats.org/officeDocument/2006/relationships/hyperlink" Id="rId36"/>
    <Relationship TargetMode="External" Target="https://www.legis.iowa.gov/docs/iac/rule/481.69.35.pdf" Type="http://schemas.openxmlformats.org/officeDocument/2006/relationships/hyperlink" Id="rId37"/>
    <Relationship TargetMode="External" Target="http://dial.iowa.gov/licenses/building/plan-review" Type="http://schemas.openxmlformats.org/officeDocument/2006/relationships/hyperlink" Id="rId38"/>
    <Relationship TargetMode="External" Target="https://www.legis.iowa.gov/docs/iac/rule/481.69.20.pdf" Type="http://schemas.openxmlformats.org/officeDocument/2006/relationships/hyperlink" Id="rId39"/>
    <Relationship TargetMode="External" Target="https://www.legis.iowa.gov/docs/ico/chapter/231C.5.pdf" Type="http://schemas.openxmlformats.org/officeDocument/2006/relationships/hyperlink" Id="rId40"/>
    <Relationship TargetMode="External" Target="https://www.legis.iowa.gov/docs/ico/chapter/231C.6.pdf" Type="http://schemas.openxmlformats.org/officeDocument/2006/relationships/hyperlink" Id="rId41"/>
    <Relationship TargetMode="External" Target="https://www.legis.iowa.gov/docs/iac/rule/481.69.24.pdf" Type="http://schemas.openxmlformats.org/officeDocument/2006/relationships/hyperlink" Id="rId42"/>
    <Relationship TargetMode="External" Target="https://www.legis.iowa.gov/docs/iac/rule/481.67.14.pdf" Type="http://schemas.openxmlformats.org/officeDocument/2006/relationships/hyperlink" Id="rId43"/>
    <Relationship TargetMode="External" Target="https://www.legis.iowa.gov/docs/iac/rule/481.67.7.pdf" Type="http://schemas.openxmlformats.org/officeDocument/2006/relationships/hyperlink" Id="rId44"/>
    <Relationship TargetMode="External" Target="https://www.legis.iowa.gov/docs/iac/rule/481.67.5.pdf" Type="http://schemas.openxmlformats.org/officeDocument/2006/relationships/hyperlink" Id="rId45"/>
    <Relationship TargetMode="External" Target="https://www.legis.iowa.gov/docs/iac/rule/481.69.22.pdf" Type="http://schemas.openxmlformats.org/officeDocument/2006/relationships/hyperlink" Id="rId46"/>
    <Relationship TargetMode="External" Target="https://www.legis.iowa.gov/docs/ico/chapter/137F.pdf" Type="http://schemas.openxmlformats.org/officeDocument/2006/relationships/hyperlink" Id="rId47"/>
    <Relationship TargetMode="External" Target="https://www.legis.iowa.gov/docs/iac/rule/481.69.28.pdf" Type="http://schemas.openxmlformats.org/officeDocument/2006/relationships/hyperlink" Id="rId48"/>
    <Relationship TargetMode="External" Target="https://www.legis.iowa.gov/docs/ico/chapter/137F.pdf" Type="http://schemas.openxmlformats.org/officeDocument/2006/relationships/hyperlink" Id="rId49"/>
    <Relationship TargetMode="External" Target="https://www.legis.iowa.gov/docs/iac/rule/481.67.9.pdf" Type="http://schemas.openxmlformats.org/officeDocument/2006/relationships/hyperlink" Id="rId50"/>
    <Relationship TargetMode="External" Target="https://www.legis.iowa.gov/docs/iac/rule/481.69.30.pdf" Type="http://schemas.openxmlformats.org/officeDocument/2006/relationships/hyperlink" Id="rId51"/>
    <Relationship TargetMode="External" Target="https://www.legis.iowa.gov/docs/iac/rule/481.69.30.pdf" Type="http://schemas.openxmlformats.org/officeDocument/2006/relationships/hyperlink" Id="rId52"/>
    <Relationship TargetMode="External" Target="https://www.legis.iowa.gov/docs/iac/rule/481.69.35.pdf" Type="http://schemas.openxmlformats.org/officeDocument/2006/relationships/hyperlink" Id="rId53"/>
    <Relationship TargetMode="External" Target="https://www.legis.iowa.gov/docs/iac/rule/481.69.35.pdf" Type="http://schemas.openxmlformats.org/officeDocument/2006/relationships/hyperlink" Id="rId54"/>
    <Relationship TargetMode="External" Target="https://www.legis.iowa.gov/docs/ico/chapter/249A.pdf" Type="http://schemas.openxmlformats.org/officeDocument/2006/relationships/hyperlink" Id="rId55"/>
    <Relationship TargetMode="External" Target="https://www.legis.iowa.gov/docs/ico/chapter/249A.pdf" Type="http://schemas.openxmlformats.org/officeDocument/2006/relationships/hyperlink" Id="rId56"/>
    <Relationship TargetMode="External" Target="https://www.legis.iowa.gov/docs/iac/rule/481.69.39.pdf" Type="http://schemas.openxmlformats.org/officeDocument/2006/relationships/hyperlink" Id="rId57"/>
    <Relationship TargetMode="External" Target="https://www.legis.iowa.gov/docs/iac/rule/481.69.24.pdf" Type="http://schemas.openxmlformats.org/officeDocument/2006/relationships/hyperlink" Id="rId58"/>
    <Relationship TargetMode="External" Target="https://www.legis.iowa.gov/docs/iac/rule/481.69.24.pdf" Type="http://schemas.openxmlformats.org/officeDocument/2006/relationships/hyperlink" Id="rId59"/>
    <Relationship TargetMode="External" Target="https://www.legis.iowa.gov/docs/iac/rule/481.69.23.pdf" Type="http://schemas.openxmlformats.org/officeDocument/2006/relationships/hyperlink" Id="rId60"/>
    <Relationship TargetMode="External" Target="https://www.legis.iowa.gov/docs/iac/rule/481.67.10.pdf" Type="http://schemas.openxmlformats.org/officeDocument/2006/relationships/hyperlink" Id="rId61"/>
    <Relationship TargetMode="External" Target="https://www.legis.iowa.gov/docs/ico/chapter/231C.pdf" Type="http://schemas.openxmlformats.org/officeDocument/2006/relationships/hyperlink" Id="rId62"/>
    <Relationship Target="media/document_image_rId63.jpeg" Type="http://schemas.openxmlformats.org/officeDocument/2006/relationships/image" Id="rId63"/>
    <Relationship Target="footer.xml" Type="http://schemas.openxmlformats.org/officeDocument/2006/relationships/footer" Id="rId6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