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ELDER GROUP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481—68.1</w:t>
      </w:r>
      <w:r>
        <w:rPr>
          <w:rFonts w:ascii="Times New Roman" w:hAnsi="Times New Roman"/>
          <w:b/>
          <w:i w:val="false"/>
          <w:color w:val="000000"/>
          <w:sz w:val="22"/>
        </w:rPr>
        <w:t xml:space="preserve">(231B)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this chapter and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occupant”</w:t>
      </w:r>
      <w:r>
        <w:rPr>
          <w:rFonts w:ascii="Times New Roman" w:hAnsi="Times New Roman"/>
          <w:b w:val="false"/>
          <w:i w:val="false"/>
          <w:color w:val="000000"/>
          <w:sz w:val="22"/>
        </w:rPr>
        <w:t> </w:t>
      </w:r>
      <w:r>
        <w:rPr>
          <w:rFonts w:ascii="Times New Roman" w:hAnsi="Times New Roman"/>
          <w:b w:val="false"/>
          <w:i w:val="false"/>
          <w:color w:val="000000"/>
          <w:sz w:val="22"/>
        </w:rPr>
        <w:t>means a tenant and all others who reside in an elder group home (EGH).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“Maximal 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unstable”</w:t>
      </w:r>
      <w:r>
        <w:rPr>
          <w:rFonts w:ascii="Times New Roman" w:hAnsi="Times New Roman"/>
          <w:b w:val="false"/>
          <w:i w:val="false"/>
          <w:color w:val="000000"/>
          <w:sz w:val="22"/>
        </w:rPr>
        <w:t>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two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supervision by a registered nurse more than once a week of the tenant for more than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“On-site manager”</w:t>
      </w:r>
      <w:r>
        <w:rPr>
          <w:rFonts w:ascii="Times New Roman" w:hAnsi="Times New Roman"/>
          <w:b w:val="false"/>
          <w:i w:val="false"/>
          <w:color w:val="000000"/>
          <w:sz w:val="22"/>
        </w:rPr>
        <w:t> </w:t>
      </w:r>
      <w:r>
        <w:rPr>
          <w:rFonts w:ascii="Times New Roman" w:hAnsi="Times New Roman"/>
          <w:b w:val="false"/>
          <w:i w:val="false"/>
          <w:color w:val="000000"/>
          <w:sz w:val="22"/>
        </w:rPr>
        <w:t>means the person on duty responsible for direct supervision or provision of tenant care. The on-site manager may be any household occupant over 18 years of age, except a tenant, who is qualified to perform the necessary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in return for remuneration, assists with the essential activities of daily living that the tenant can perform personally only with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an elder group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“Unmanageable incontinence”</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“Usable floor space”</w:t>
      </w:r>
      <w:r>
        <w:rPr>
          <w:rFonts w:ascii="Times New Roman" w:hAnsi="Times New Roman"/>
          <w:b w:val="false"/>
          <w:i w:val="false"/>
          <w:color w:val="000000"/>
          <w:sz w:val="22"/>
        </w:rPr>
        <w:t> </w:t>
      </w:r>
      <w:r>
        <w:rPr>
          <w:rFonts w:ascii="Times New Roman" w:hAnsi="Times New Roman"/>
          <w:b w:val="false"/>
          <w:i w:val="false"/>
          <w:color w:val="000000"/>
          <w:sz w:val="22"/>
        </w:rPr>
        <w:t>means open floor space that is not under fixtures, furniture or other barriers and is available for walking or wheelchair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w:t>
      </w:r>
      <w:r>
        <w:rPr>
          <w:rFonts w:ascii="Times New Roman" w:hAnsi="Times New Roman"/>
          <w:b/>
          <w:i w:val="false"/>
          <w:color w:val="000000"/>
          <w:sz w:val="22"/>
        </w:rPr>
        <w:t xml:space="preserve">(231B) </w:t>
      </w:r>
      <w:r>
        <w:rPr>
          <w:rFonts w:ascii="Times New Roman" w:hAnsi="Times New Roman"/>
          <w:b/>
          <w:i w:val="false"/>
          <w:color w:val="000000"/>
          <w:sz w:val="22"/>
        </w:rPr>
        <w:t xml:space="preserve">Program certification and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A program may obtain certification by meeting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481—68.3</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health facilities division website at </w:t>
      </w:r>
      <w:hyperlink r:id="rId10">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least 30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481—68.4</w:t>
      </w:r>
      <w:r>
        <w:rPr>
          <w:rFonts w:ascii="Times New Roman" w:hAnsi="Times New Roman"/>
          <w:b/>
          <w:i w:val="false"/>
          <w:color w:val="000000"/>
          <w:sz w:val="22"/>
        </w:rPr>
        <w:t xml:space="preserve">(231B) </w:t>
      </w:r>
      <w:r>
        <w:rPr>
          <w:rFonts w:ascii="Times New Roman" w:hAnsi="Times New Roman"/>
          <w:b/>
          <w:i w:val="false"/>
          <w:color w:val="000000"/>
          <w:sz w:val="22"/>
        </w:rPr>
        <w:t xml:space="preserve">Certification—application content. </w:t>
      </w:r>
      <w:r>
        <w:rPr>
          <w:rFonts w:ascii="Times New Roman" w:hAnsi="Times New Roman"/>
          <w:b w:val="false"/>
          <w:i w:val="false"/>
          <w:color w:val="000000"/>
          <w:sz w:val="22"/>
        </w:rPr>
        <w:t>An application for certification or recertification of an EGH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1">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2">
        <w:r>
          <w:rPr>
            <w:rStyle w:val="Hyperlink"/>
            <w:rFonts w:ascii="Times New Roman" w:hAnsi="Times New Roman"/>
            <w:b w:val="false"/>
            <w:i w:val="false"/>
            <w:color w:val="000000"/>
            <w:sz w:val="22"/>
          </w:rPr>
          <w:t>68.4(1)</w:t>
        </w:r>
      </w:hyperlink>
      <w:r>
        <w:rPr>
          <w:rFonts w:ascii="Times New Roman" w:hAnsi="Times New Roman"/>
          <w:b w:val="false"/>
          <w:i w:val="false"/>
          <w:color w:val="000000"/>
          <w:sz w:val="22"/>
        </w:rPr>
        <w:t xml:space="preserve"> meet the criteria set out in Iowa Code section </w:t>
      </w:r>
      <w:hyperlink r:id="rId13">
        <w:r>
          <w:rPr>
            <w:rStyle w:val="Hyperlink"/>
            <w:rFonts w:ascii="Times New Roman" w:hAnsi="Times New Roman"/>
            <w:b w:val="false"/>
            <w:i w:val="false"/>
            <w:color w:val="000000"/>
            <w:sz w:val="22"/>
          </w:rPr>
          <w:t>231B.10(1)</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for a licensed health care facility as defined in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15">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6">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481—68.5</w:t>
      </w:r>
      <w:r>
        <w:rPr>
          <w:rFonts w:ascii="Times New Roman" w:hAnsi="Times New Roman"/>
          <w:b/>
          <w:i w:val="false"/>
          <w:color w:val="000000"/>
          <w:sz w:val="22"/>
        </w:rPr>
        <w:t xml:space="preserve">(231B) </w:t>
      </w:r>
      <w:r>
        <w:rPr>
          <w:rFonts w:ascii="Times New Roman" w:hAnsi="Times New Roman"/>
          <w:b/>
          <w:i w:val="false"/>
          <w:color w:val="000000"/>
          <w:sz w:val="22"/>
        </w:rPr>
        <w:t xml:space="preserve">Initial 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fire safety bureau approval and structural and evacuation review approval, the department will determine whether or not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7">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481—68.6</w:t>
      </w:r>
      <w:r>
        <w:rPr>
          <w:rFonts w:ascii="Times New Roman" w:hAnsi="Times New Roman"/>
          <w:b/>
          <w:i w:val="false"/>
          <w:color w:val="000000"/>
          <w:sz w:val="22"/>
        </w:rPr>
        <w:t xml:space="preserve">(231B) </w:t>
      </w:r>
      <w:r>
        <w:rPr>
          <w:rFonts w:ascii="Times New Roman" w:hAnsi="Times New Roman"/>
          <w:b/>
          <w:i w:val="false"/>
          <w:color w:val="000000"/>
          <w:sz w:val="22"/>
        </w:rPr>
        <w:t xml:space="preserve">Expiration of program certification.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481—68.7</w:t>
      </w:r>
      <w:r>
        <w:rPr>
          <w:rFonts w:ascii="Times New Roman" w:hAnsi="Times New Roman"/>
          <w:b/>
          <w:i w:val="false"/>
          <w:color w:val="000000"/>
          <w:sz w:val="22"/>
        </w:rPr>
        <w:t xml:space="preserve">(231B) </w:t>
      </w:r>
      <w:r>
        <w:rPr>
          <w:rFonts w:ascii="Times New Roman" w:hAnsi="Times New Roman"/>
          <w:b/>
          <w:i w:val="false"/>
          <w:color w:val="000000"/>
          <w:sz w:val="22"/>
        </w:rPr>
        <w:t xml:space="preserve">Recertification process.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including the information from rule </w:t>
      </w:r>
      <w:hyperlink r:id="rId18">
        <w:r>
          <w:rPr>
            <w:rStyle w:val="Hyperlink"/>
            <w:rFonts w:ascii="Times New Roman" w:hAnsi="Times New Roman"/>
            <w:b w:val="false"/>
            <w:i w:val="false"/>
            <w:color w:val="000000"/>
            <w:sz w:val="22"/>
          </w:rPr>
          <w:t>481—68.4</w:t>
        </w:r>
      </w:hyperlink>
      <w:r>
        <w:rPr>
          <w:rFonts w:ascii="Times New Roman" w:hAnsi="Times New Roman"/>
          <w:b w:val="false"/>
          <w:i w:val="false"/>
          <w:color w:val="000000"/>
          <w:sz w:val="22"/>
        </w:rPr>
        <w:t xml:space="preserve">(231B), associated documentation, and the recertification fee as listed in Iowa Code section </w:t>
      </w:r>
      <w:hyperlink r:id="rId19">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to the department at the address stated in subrule </w:t>
      </w:r>
      <w:hyperlink r:id="rId20">
        <w:r>
          <w:rPr>
            <w:rStyle w:val="Hyperlink"/>
            <w:rFonts w:ascii="Times New Roman" w:hAnsi="Times New Roman"/>
            <w:b w:val="false"/>
            <w:i w:val="false"/>
            <w:color w:val="000000"/>
            <w:sz w:val="22"/>
          </w:rPr>
          <w:t>68.3(1)</w:t>
        </w:r>
      </w:hyperlink>
      <w:r>
        <w:rPr>
          <w:rFonts w:ascii="Times New Roman" w:hAnsi="Times New Roman"/>
          <w:b w:val="false"/>
          <w:i w:val="false"/>
          <w:color w:val="000000"/>
          <w:sz w:val="22"/>
        </w:rPr>
        <w:t xml:space="preserve"> at least 90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481—68.8</w:t>
      </w:r>
      <w:r>
        <w:rPr>
          <w:rFonts w:ascii="Times New Roman" w:hAnsi="Times New Roman"/>
          <w:b/>
          <w:i w:val="false"/>
          <w:color w:val="000000"/>
          <w:sz w:val="22"/>
        </w:rPr>
        <w:t xml:space="preserve">(231B) </w:t>
      </w:r>
      <w:r>
        <w:rPr>
          <w:rFonts w:ascii="Times New Roman" w:hAnsi="Times New Roman"/>
          <w:b/>
          <w:i w:val="false"/>
          <w:color w:val="000000"/>
          <w:sz w:val="22"/>
        </w:rPr>
        <w:t xml:space="preserve">Notification of recertification.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associated documentation and fees. If the application is incomplete, the department will contact the program to request the additional information. After all finalized documentation is received, including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issue a notice of denial and provide the program the opportunity for a hearing pursuant to rule </w:t>
      </w:r>
      <w:hyperlink r:id="rId21">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481—68.9</w:t>
      </w:r>
      <w:r>
        <w:rPr>
          <w:rFonts w:ascii="Times New Roman" w:hAnsi="Times New Roman"/>
          <w:b/>
          <w:i w:val="false"/>
          <w:color w:val="000000"/>
          <w:sz w:val="22"/>
        </w:rPr>
        <w:t xml:space="preserve">(231B)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2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481—68.10</w:t>
      </w:r>
      <w:r>
        <w:rPr>
          <w:rFonts w:ascii="Times New Roman" w:hAnsi="Times New Roman"/>
          <w:b/>
          <w:i w:val="false"/>
          <w:color w:val="000000"/>
          <w:sz w:val="22"/>
        </w:rPr>
        <w:t xml:space="preserve">(231B)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23">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481—68.11</w:t>
      </w:r>
      <w:r>
        <w:rPr>
          <w:rFonts w:ascii="Times New Roman" w:hAnsi="Times New Roman"/>
          <w:b/>
          <w:i w:val="false"/>
          <w:color w:val="000000"/>
          <w:sz w:val="22"/>
        </w:rPr>
        <w:t xml:space="preserve">(231B)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at least 90 days in advance of cessation, unless there is some type of emergency, written notification to the department and the tenant advocate of the date on which the program will cease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transfer or transition of all tenants within the 90-day period specified by subrule </w:t>
      </w:r>
      <w:hyperlink r:id="rId25">
        <w:r>
          <w:rPr>
            <w:rStyle w:val="Hyperlink"/>
            <w:rFonts w:ascii="Times New Roman" w:hAnsi="Times New Roman"/>
            <w:b w:val="false"/>
            <w:i w:val="false"/>
            <w:color w:val="000000"/>
            <w:sz w:val="22"/>
          </w:rPr>
          <w:t>68.11(1)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68.11(4)</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tenant advocates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481—68.12</w:t>
      </w:r>
      <w:r>
        <w:rPr>
          <w:rFonts w:ascii="Times New Roman" w:hAnsi="Times New Roman"/>
          <w:b/>
          <w:i w:val="false"/>
          <w:color w:val="000000"/>
          <w:sz w:val="22"/>
        </w:rPr>
        <w:t xml:space="preserve">(231B)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and written in plain language using commonly understood terms that are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26">
        <w:r>
          <w:rPr>
            <w:rStyle w:val="Hyperlink"/>
            <w:rFonts w:ascii="Times New Roman" w:hAnsi="Times New Roman"/>
            <w:b w:val="false"/>
            <w:i w:val="false"/>
            <w:color w:val="000000"/>
            <w:sz w:val="22"/>
          </w:rPr>
          <w:t>231B.5</w:t>
        </w:r>
      </w:hyperlink>
      <w:r>
        <w:rPr>
          <w:rFonts w:ascii="Times New Roman" w:hAnsi="Times New Roman"/>
          <w:b w:val="false"/>
          <w:i w:val="false"/>
          <w:color w:val="000000"/>
          <w:sz w:val="22"/>
        </w:rPr>
        <w:t>, the written occupancy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and transfer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481—68.13</w:t>
      </w:r>
      <w:r>
        <w:rPr>
          <w:rFonts w:ascii="Times New Roman" w:hAnsi="Times New Roman"/>
          <w:b/>
          <w:i w:val="false"/>
          <w:color w:val="000000"/>
          <w:sz w:val="22"/>
        </w:rPr>
        <w:t xml:space="preserve">(231B)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becoming a household occupant to determine the tenant’s eligibility for the program, including whether the services needed are available. The cognitive evaluation shall utilize a scored, objective tool. When the score from the cognitive evaluation indicates moderate cognitive decline and risk, the Global Deterioration Scale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human service professional,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68.13(2)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and with significant change. </w:t>
      </w:r>
      <w:r>
        <w:rPr>
          <w:rFonts w:ascii="Times New Roman" w:hAnsi="Times New Roman"/>
          <w:b w:val="false"/>
          <w:i w:val="false"/>
          <w:color w:val="000000"/>
          <w:sz w:val="22"/>
        </w:rPr>
        <w:t>A program shall evaluate each tenant’s functional, cognitive and health status within 30 days of occupancy. 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human service professional, or a licensed practical nurse via nurse delegation.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481—68.14</w:t>
      </w:r>
      <w:r>
        <w:rPr>
          <w:rFonts w:ascii="Times New Roman" w:hAnsi="Times New Roman"/>
          <w:b/>
          <w:i w:val="false"/>
          <w:color w:val="000000"/>
          <w:sz w:val="22"/>
        </w:rPr>
        <w:t xml:space="preserve">(231B)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one-person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is sexually, verbally or physically aggressive or abusive;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 physically or mentally unable to immediately and without aid of another travel a normal path to safety, including the ascent and descent of stairs from the tenant’s bedroom or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68.14(3)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assist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481—68.15</w:t>
      </w:r>
      <w:r>
        <w:rPr>
          <w:rFonts w:ascii="Times New Roman" w:hAnsi="Times New Roman"/>
          <w:b/>
          <w:i w:val="false"/>
          <w:color w:val="000000"/>
          <w:sz w:val="22"/>
        </w:rPr>
        <w:t xml:space="preserve">(231B)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 xml:space="preserve">The program shall comply with Iowa Code section </w:t>
      </w:r>
      <w:hyperlink r:id="rId27">
        <w:r>
          <w:rPr>
            <w:rStyle w:val="Hyperlink"/>
            <w:rFonts w:ascii="Times New Roman" w:hAnsi="Times New Roman"/>
            <w:b w:val="false"/>
            <w:i w:val="false"/>
            <w:color w:val="000000"/>
            <w:sz w:val="22"/>
          </w:rPr>
          <w:t>231B.6</w:t>
        </w:r>
      </w:hyperlink>
      <w:r>
        <w:rPr>
          <w:rFonts w:ascii="Times New Roman" w:hAnsi="Times New Roman"/>
          <w:b w:val="false"/>
          <w:i w:val="false"/>
          <w:color w:val="000000"/>
          <w:sz w:val="22"/>
        </w:rPr>
        <w:t xml:space="preserve"> and provide notification to the tenant advocate by certified mail and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68.15(2)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will notify the program, in writing, of the identification of any tenant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tenant, the tenant’s legal representative, if applicable, and other providers of services to the tenant will be notified of their opportunity to provide responses within ten days of receipt of the notice, including: specific input, written comment, information, and documentation directly addressing any agreement or disagreement with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28">
        <w:r>
          <w:rPr>
            <w:rStyle w:val="Hyperlink"/>
            <w:rFonts w:ascii="Times New Roman" w:hAnsi="Times New Roman"/>
            <w:b w:val="false"/>
            <w:i w:val="false"/>
            <w:color w:val="000000"/>
            <w:sz w:val="22"/>
          </w:rPr>
          <w:t>68.15(1)</w:t>
        </w:r>
      </w:hyperlink>
      <w:r>
        <w:rPr>
          <w:rFonts w:ascii="Times New Roman" w:hAnsi="Times New Roman"/>
          <w:b w:val="false"/>
          <w:i w:val="false"/>
          <w:color w:val="000000"/>
          <w:sz w:val="22"/>
        </w:rPr>
        <w:t xml:space="preserve"> will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collect and submit all responses to the department, within ten working days of the receipt of the notice, including those from other interested parties. In the program’s response, the program will identify the tenant, list the known responses from others, and note the program’s agreement or disagreement with the responses from others. Submission of a response does not eliminate the applicable requirements including submission of a plan of correction under </w:t>
      </w:r>
      <w:hyperlink r:id="rId29">
        <w:r>
          <w:rPr>
            <w:rStyle w:val="Hyperlink"/>
            <w:rFonts w:ascii="Times New Roman" w:hAnsi="Times New Roman"/>
            <w:b w:val="false"/>
            <w:i w:val="false"/>
            <w:color w:val="000000"/>
            <w:sz w:val="22"/>
          </w:rPr>
          <w:t>481—subrule 67.13(3)</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ten working days of receipt of the program’s response for each identified tenant, the department will make a final finding regarding the continued retention of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will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will review the plan of correction in accordance with this chapter and </w:t>
      </w:r>
      <w:hyperlink r:id="rId30">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will notify the program of the opportunity to appeal the report findings as they relate to the admission and retention decision. The department will provide to the tenant or the tenant’s legal representative the contact information for the tenant advocate. A copy of the final report will be sent to the tenant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tenant who exceeds admission and retention criteria will be allowed to continue living in the EGH until all administrative appeals have been exhausted. Appeals filed that relate to the tenant’s exceeding admission and retention criteria will be heard within 30 days of receipt, and appropriate services to meet the tenant’s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tenant in a program. To allow a tenant to remain in the program, the program may request a waiver of criteria for retention of a tenant pursuant to rule </w:t>
      </w:r>
      <w:hyperlink r:id="rId31">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481—68.16</w:t>
      </w:r>
      <w:r>
        <w:rPr>
          <w:rFonts w:ascii="Times New Roman" w:hAnsi="Times New Roman"/>
          <w:b/>
          <w:i w:val="false"/>
          <w:color w:val="000000"/>
          <w:sz w:val="22"/>
        </w:rPr>
        <w:t xml:space="preserve">(231B)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32">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68.16(3)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481—68.17</w:t>
      </w:r>
      <w:r>
        <w:rPr>
          <w:rFonts w:ascii="Times New Roman" w:hAnsi="Times New Roman"/>
          <w:b/>
          <w:i w:val="false"/>
          <w:color w:val="000000"/>
          <w:sz w:val="22"/>
        </w:rPr>
        <w:t xml:space="preserve">(231B)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subrules </w:t>
      </w:r>
      <w:hyperlink r:id="rId33">
        <w:r>
          <w:rPr>
            <w:rStyle w:val="Hyperlink"/>
            <w:rFonts w:ascii="Times New Roman" w:hAnsi="Times New Roman"/>
            <w:b w:val="false"/>
            <w:i w:val="false"/>
            <w:color w:val="000000"/>
            <w:sz w:val="22"/>
          </w:rPr>
          <w:t>68.13(1)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68.13(2)</w:t>
        </w:r>
      </w:hyperlink>
      <w:r>
        <w:rPr>
          <w:rFonts w:ascii="Times New Roman" w:hAnsi="Times New Roman"/>
          <w:b w:val="false"/>
          <w:i w:val="false"/>
          <w:color w:val="000000"/>
          <w:sz w:val="22"/>
        </w:rPr>
        <w:t xml:space="preserve"> and be designed to meet the specific needs of the individual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becoming a household occupant,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 The service plan will be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 For example, with chronic exacerbation of a urinary tract infection, nurse review is adequate to institute the previously written evaluation and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68.17(4)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elder group home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481—68.18</w:t>
      </w:r>
      <w:r>
        <w:rPr>
          <w:rFonts w:ascii="Times New Roman" w:hAnsi="Times New Roman"/>
          <w:b/>
          <w:i w:val="false"/>
          <w:color w:val="000000"/>
          <w:sz w:val="22"/>
        </w:rPr>
        <w:t xml:space="preserve">(231B)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 If a tenant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professional-directed health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68.18(4)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35">
        <w:r>
          <w:rPr>
            <w:rStyle w:val="Hyperlink"/>
            <w:rFonts w:ascii="Times New Roman" w:hAnsi="Times New Roman"/>
            <w:b w:val="false"/>
            <w:i w:val="false"/>
            <w:color w:val="000000"/>
            <w:sz w:val="22"/>
          </w:rPr>
          <w:t>481—68.17</w:t>
        </w:r>
      </w:hyperlink>
      <w:r>
        <w:rPr>
          <w:rFonts w:ascii="Times New Roman" w:hAnsi="Times New Roman"/>
          <w:b w:val="false"/>
          <w:i w:val="false"/>
          <w:color w:val="000000"/>
          <w:sz w:val="22"/>
        </w:rPr>
        <w:t>(231B),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481—68.19</w:t>
      </w:r>
      <w:r>
        <w:rPr>
          <w:rFonts w:ascii="Times New Roman" w:hAnsi="Times New Roman"/>
          <w:b/>
          <w:i w:val="false"/>
          <w:color w:val="000000"/>
          <w:sz w:val="22"/>
        </w:rPr>
        <w:t xml:space="preserve">(231B)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36">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68.19(1)</w:t>
      </w:r>
      <w:r>
        <w:rPr>
          <w:rFonts w:ascii="Times New Roman" w:hAnsi="Times New Roman"/>
          <w:b w:val="false"/>
          <w:i w:val="false"/>
          <w:color w:val="000000"/>
          <w:sz w:val="22"/>
        </w:rPr>
        <w:t> </w:t>
      </w:r>
      <w:r>
        <w:rPr>
          <w:rFonts w:ascii="Times New Roman" w:hAnsi="Times New Roman"/>
          <w:b w:val="false"/>
          <w:i w:val="false"/>
          <w:color w:val="000000"/>
          <w:sz w:val="22"/>
        </w:rPr>
        <w:t>The program will be staffed by an on-site manager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providers will have completed a home care aide training program that meets the requirements and criteria established in </w:t>
      </w:r>
      <w:hyperlink r:id="rId37">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68.19(4)</w:t>
      </w:r>
      <w:r>
        <w:rPr>
          <w:rFonts w:ascii="Times New Roman" w:hAnsi="Times New Roman"/>
          <w:b w:val="false"/>
          <w:i w:val="false"/>
          <w:color w:val="000000"/>
          <w:sz w:val="22"/>
        </w:rPr>
        <w:t> </w:t>
      </w:r>
      <w:r>
        <w:rPr>
          <w:rFonts w:ascii="Times New Roman" w:hAnsi="Times New Roman"/>
          <w:b w:val="false"/>
          <w:i w:val="false"/>
          <w:color w:val="000000"/>
          <w:sz w:val="22"/>
        </w:rPr>
        <w:t>Personal care providers and nursing staff may be employed by the program or obtained through a contract with a home health agency or other service provider. Regardless of the source, the staff must meet all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68.19(5)</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481—68.20</w:t>
      </w:r>
      <w:r>
        <w:rPr>
          <w:rFonts w:ascii="Times New Roman" w:hAnsi="Times New Roman"/>
          <w:b/>
          <w:i w:val="false"/>
          <w:color w:val="000000"/>
          <w:sz w:val="22"/>
        </w:rPr>
        <w:t xml:space="preserve">(231B)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tenant along with the occupancy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results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68.20(2)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will participate in the process. The result of the consensus-based process may be a managed risk consensus agreement that will include the signature of the tenant and all others who participated in the process and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481—68.21</w:t>
      </w:r>
      <w:r>
        <w:rPr>
          <w:rFonts w:ascii="Times New Roman" w:hAnsi="Times New Roman"/>
          <w:b/>
          <w:i w:val="false"/>
          <w:color w:val="000000"/>
          <w:sz w:val="22"/>
        </w:rPr>
        <w:t xml:space="preserve">(231B)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will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will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481—68.22</w:t>
      </w:r>
      <w:r>
        <w:rPr>
          <w:rFonts w:ascii="Times New Roman" w:hAnsi="Times New Roman"/>
          <w:b/>
          <w:i w:val="false"/>
          <w:color w:val="000000"/>
          <w:sz w:val="22"/>
        </w:rPr>
        <w:t xml:space="preserve">(231B)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participation in an elder group home that receives reimbursement through the medical assistance program under Iowa Code chapter </w:t>
      </w:r>
      <w:hyperlink r:id="rId3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68.22(2)</w:t>
      </w:r>
      <w:r>
        <w:rPr>
          <w:rFonts w:ascii="Times New Roman" w:hAnsi="Times New Roman"/>
          <w:b w:val="false"/>
          <w:i w:val="false"/>
          <w:color w:val="000000"/>
          <w:sz w:val="22"/>
        </w:rPr>
        <w:t> </w:t>
      </w:r>
      <w:r>
        <w:rPr>
          <w:rFonts w:ascii="Times New Roman" w:hAnsi="Times New Roman"/>
          <w:b w:val="false"/>
          <w:i w:val="false"/>
          <w:color w:val="000000"/>
          <w:sz w:val="22"/>
        </w:rPr>
        <w:t>If the tenant may be a veteran or the spouse, widow, or dependent of a veteran, the program shall report the tenant’s name along with the name of the veteran, if applicable, and the name of the contact person for this information, to the Iowa department of veterans affairs. The program may report such information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3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481—68.23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481—68.24</w:t>
      </w:r>
      <w:r>
        <w:rPr>
          <w:rFonts w:ascii="Times New Roman" w:hAnsi="Times New Roman"/>
          <w:b/>
          <w:i w:val="false"/>
          <w:color w:val="000000"/>
          <w:sz w:val="22"/>
        </w:rPr>
        <w:t xml:space="preserve">(231B)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for 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68.24(2)</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elder group homes in administrative rules promulgated by the building code bureau and fire safety bureau. Approval of the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481—68.25</w:t>
      </w:r>
      <w:r>
        <w:rPr>
          <w:rFonts w:ascii="Times New Roman" w:hAnsi="Times New Roman"/>
          <w:b/>
          <w:i w:val="false"/>
          <w:color w:val="000000"/>
          <w:sz w:val="22"/>
        </w:rPr>
        <w:t xml:space="preserve">(231B) </w:t>
      </w:r>
      <w:r>
        <w:rPr>
          <w:rFonts w:ascii="Times New Roman" w:hAnsi="Times New Roman"/>
          <w:b/>
          <w:i w:val="false"/>
          <w:color w:val="000000"/>
          <w:sz w:val="22"/>
        </w:rPr>
        <w:t xml:space="preserve">Structural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68.25(1)</w:t>
      </w:r>
      <w:r>
        <w:rPr>
          <w:rFonts w:ascii="Times New Roman" w:hAnsi="Times New Roman"/>
          <w:b w:val="false"/>
          <w:i w:val="false"/>
          <w:color w:val="000000"/>
          <w:sz w:val="22"/>
        </w:rPr>
        <w:t> </w:t>
      </w:r>
      <w:r>
        <w:rPr>
          <w:rFonts w:ascii="Times New Roman" w:hAnsi="Times New Roman"/>
          <w:b w:val="false"/>
          <w:i w:val="false"/>
          <w:color w:val="000000"/>
          <w:sz w:val="22"/>
        </w:rPr>
        <w:t>The EGH shall be safe, sanitary, well-ventilated, and properly lighted, heated, and cooled; and comply with all applicable state and local housing ordinances for family residences and with fire safety rules promulgated by the fire safety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meeting the requirements in subrule </w:t>
      </w:r>
      <w:hyperlink r:id="rId40">
        <w:r>
          <w:rPr>
            <w:rStyle w:val="Hyperlink"/>
            <w:rFonts w:ascii="Times New Roman" w:hAnsi="Times New Roman"/>
            <w:b w:val="false"/>
            <w:i w:val="false"/>
            <w:color w:val="000000"/>
            <w:sz w:val="22"/>
          </w:rPr>
          <w:t>68.25(1)</w:t>
        </w:r>
      </w:hyperlink>
      <w:r>
        <w:rPr>
          <w:rFonts w:ascii="Times New Roman" w:hAnsi="Times New Roman"/>
          <w:b w:val="false"/>
          <w:i w:val="false"/>
          <w:color w:val="000000"/>
          <w:sz w:val="22"/>
        </w:rPr>
        <w:t>, the EGH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furnishings and fixtures will be clean, in good repair and appropriate for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Stairways will have handrails of a circumference, length, texture, strength and stability that can reasonably be expected to provide tenant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functioning light will be provided in each room, stairway and exit; all light bulbs will be protected from breakage or removal with appropriate covers.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yard, fire exits and exterior steps will be kept free of obstructions and accessible and appropriate to the condition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150 square feet of common living space and sufficient furniture in the home to accommodate the recreational and socialization needs of all the tenants at one time; common space will not be located in the basement or garage, unless such space was constructed for that purpose. Additional common living space may be required if wheelchairs, walkers or other durable medical equipment is to be accommodated. For an EGH constructed or remodeled after July 1, 2005, there will be 300 square feet of usable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Interior and exterior doorways used by tenants will be wide enough to accommodate wheelchairs and walkers if tenants with impaired mobility are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Hot and cold water at each tub, shower, and sink will be in sufficient supply to meet the needs of the tenants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Grab bars will be present for each toilet, tub and shower. Access to toilet and bathing facilities will be barrier-free and provide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telephone will be available and accessible for tenants’ use in a manner that allows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combustion appliances will be used and maintained properly and  inspected annually by a qualified technician for carbon monoxide emissions and any other hazards to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Extension cord wiring will not be used in place of permanent electrical fixtures or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Sanitation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public water supply will be utilized if available. If a nonmunicipal water source is used, the owner or on-site manager will show documentation from the state laboratory that the water supply is potable and is tested as required by the rules of the environmental protection commission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Septic tanks or other nonmunicipal wastewater disposal systems will be in good working order and comply with state and local regulations for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Garbage and refuse will be suitably stored and disposed of by a sanitation company providing service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laundry service is provided, soiled linens and clothing will be stored in containers in an area separate from food storage, kitchen and dining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Sanitation for household pets and other domestic animals will be adequate to prevent health and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will be adequate control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Reasonable and prudent precautions for infection control will be taken, including washing hands and exposed portions of arms with soap and hot water immediately before engaging in food preparation and meal service and before and after providing personal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toilet and one sink for every four household occupants. A minimum of one sink and toilet is required on each floor occupied by tenants. A sink will be located near each toilet. For an EGH constructed or remodeled after July 1, 2005, there will be at least one toilet and one sink for every two household occupants, with a minimum of one toilet and one sink on each floor occupied by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At least one tub or shower is required for each six household occupants. For an EGH constructed or remodeled after July 1, 2005, there will be at least one tub or one shower for every four household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Bedroom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tenant bedroom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door that opens directly to a hallway or common use area without passage through another bedroom or common bathroom;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adequately ventilated, heated, cooled and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at least 70 square feet of usable floor space, excluding any area where a sloped ceiling does not allow a person to stand upright. For an EGH constructed or remodeled after July 1, 2005, each tenant bedroom will have at least 100 square feet of usable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individual privacy and be occupied by one tenant, unless an alternative arrangement is agreed to in the occupancy agreement by the tenant or the tenant’s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on ground level for tenants with impaired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in sufficiently close proximity to the on-site manager to ensure that tenants are able to alert the on-site manager to nighttime needs or emergencies, or be equipped with a call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operators, on-site managers, their family members, and personal care providers will not use as bedrooms areas that are designated as living areas or as tenant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 living space and tenant bedrooms will not be used for storage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0064D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w:t>
      </w:r>
    </w:p>
    <w:p>
      <w:pPr>
        <w:pageBreakBefore/>
        <w:spacing w:before="0" w:after="0"/>
        <w:ind w:left="120"/>
        <w:jc w:val="center"/>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428994"/>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2"/>
                    <a:stretch>
                      <a:fillRect/>
                    </a:stretch>
                  </pic:blipFill>
                  <pic:spPr>
                    <a:xfrm>
                      <a:off x="0" y="0"/>
                      <a:ext cx="5063014" cy="6428994"/>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8175B</w:t>
      </w:r>
      <w:r>
        <w:rPr>
          <w:rFonts w:ascii="Times New Roman" w:hAnsi="Times New Roman"/>
          <w:b w:val="false"/>
          <w:i w:val="false"/>
          <w:color w:val="000000"/>
          <w:sz w:val="21"/>
        </w:rPr>
        <w:t xml:space="preserve"> (Notice ARC 7960B,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0064D</w:t>
      </w:r>
      <w:r>
        <w:rPr>
          <w:rFonts w:ascii="Times New Roman" w:hAnsi="Times New Roman"/>
          <w:b w:val="false"/>
          <w:i w:val="false"/>
          <w:color w:val="000000"/>
          <w:sz w:val="21"/>
        </w:rPr>
        <w:t xml:space="preserve"> (Notice ARC 9782C, IAB 12/10/25)</w:t>
      </w:r>
      <w:r>
        <w:rPr>
          <w:rFonts w:ascii="Times New Roman" w:hAnsi="Times New Roman"/>
          <w:b w:val="false"/>
          <w:i w:val="false"/>
          <w:color w:val="000000"/>
          <w:sz w:val="21"/>
        </w:rPr>
        <w:t>, IAB 2/4/26, effective 3/11/26]</w:t>
      </w:r>
    </w:p>
    <w:sectPr>
      <w:footerReference r:id="rId4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B.pdf" Type="http://schemas.openxmlformats.org/officeDocument/2006/relationships/hyperlink" Id="rId6"/>
    <Relationship TargetMode="External" Target="https://www.legis.iowa.gov/docs/ico/chapter/231B.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dia-hfd.iowa.gov" Type="http://schemas.openxmlformats.org/officeDocument/2006/relationships/hyperlink" Id="rId10"/>
    <Relationship TargetMode="External" Target="https://www.legis.iowa.gov/docs/iac/rule/481.68.4.pdf" Type="http://schemas.openxmlformats.org/officeDocument/2006/relationships/hyperlink" Id="rId11"/>
    <Relationship TargetMode="External" Target="https://www.legis.iowa.gov/docs/iac/rule/481.68.4.pdf" Type="http://schemas.openxmlformats.org/officeDocument/2006/relationships/hyperlink" Id="rId12"/>
    <Relationship TargetMode="External" Target="https://www.legis.iowa.gov/docs/ico/chapter/231B.10.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s://www.legis.iowa.gov/docs/ico/chapter/135B.1.pdf" Type="http://schemas.openxmlformats.org/officeDocument/2006/relationships/hyperlink" Id="rId15"/>
    <Relationship TargetMode="External" Target="https://www.legis.iowa.gov/docs/ico/chapter/231B.17.pdf" Type="http://schemas.openxmlformats.org/officeDocument/2006/relationships/hyperlink" Id="rId16"/>
    <Relationship TargetMode="External" Target="https://www.legis.iowa.gov/docs/iac/rule/481.67.10.pdf" Type="http://schemas.openxmlformats.org/officeDocument/2006/relationships/hyperlink" Id="rId17"/>
    <Relationship TargetMode="External" Target="https://www.legis.iowa.gov/docs/iac/rule/481.68.4.pdf" Type="http://schemas.openxmlformats.org/officeDocument/2006/relationships/hyperlink" Id="rId18"/>
    <Relationship TargetMode="External" Target="https://www.legis.iowa.gov/docs/ico/chapter/231B.17.pdf" Type="http://schemas.openxmlformats.org/officeDocument/2006/relationships/hyperlink" Id="rId19"/>
    <Relationship TargetMode="External" Target="https://www.legis.iowa.gov/docs/iac/rule/481.68.3.pdf" Type="http://schemas.openxmlformats.org/officeDocument/2006/relationships/hyperlink" Id="rId20"/>
    <Relationship TargetMode="External" Target="https://www.legis.iowa.gov/docs/iac/rule/481.67.14.pdf" Type="http://schemas.openxmlformats.org/officeDocument/2006/relationships/hyperlink" Id="rId21"/>
    <Relationship TargetMode="External" Target="http://dia-hfd.iowa.gov" Type="http://schemas.openxmlformats.org/officeDocument/2006/relationships/hyperlink" Id="rId22"/>
    <Relationship TargetMode="External" Target="https://www.legis.iowa.gov/docs/ico/chapter/231B.pdf" Type="http://schemas.openxmlformats.org/officeDocument/2006/relationships/hyperlink" Id="rId23"/>
    <Relationship TargetMode="External" Target="https://www.legis.iowa.gov/docs/iac/chapter/481.67.pdf" Type="http://schemas.openxmlformats.org/officeDocument/2006/relationships/hyperlink" Id="rId24"/>
    <Relationship TargetMode="External" Target="https://www.legis.iowa.gov/docs/iac/rule/481.68.11.pdf" Type="http://schemas.openxmlformats.org/officeDocument/2006/relationships/hyperlink" Id="rId25"/>
    <Relationship TargetMode="External" Target="https://www.legis.iowa.gov/docs/ico/chapter/231B.5.pdf" Type="http://schemas.openxmlformats.org/officeDocument/2006/relationships/hyperlink" Id="rId26"/>
    <Relationship TargetMode="External" Target="https://www.legis.iowa.gov/docs/ico/chapter/231B.6.pdf" Type="http://schemas.openxmlformats.org/officeDocument/2006/relationships/hyperlink" Id="rId27"/>
    <Relationship TargetMode="External" Target="https://www.legis.iowa.gov/docs/iac/rule/481.68.15.pdf" Type="http://schemas.openxmlformats.org/officeDocument/2006/relationships/hyperlink" Id="rId28"/>
    <Relationship TargetMode="External" Target="https://www.legis.iowa.gov/docs/iac/rule/481.67.13.pdf" Type="http://schemas.openxmlformats.org/officeDocument/2006/relationships/hyperlink" Id="rId29"/>
    <Relationship TargetMode="External" Target="https://www.legis.iowa.gov/docs/iac/chapter/481.67.pdf" Type="http://schemas.openxmlformats.org/officeDocument/2006/relationships/hyperlink" Id="rId30"/>
    <Relationship TargetMode="External" Target="https://www.legis.iowa.gov/docs/iac/rule/481.67.7.pdf" Type="http://schemas.openxmlformats.org/officeDocument/2006/relationships/hyperlink" Id="rId31"/>
    <Relationship TargetMode="External" Target="https://www.legis.iowa.gov/docs/iac/rule/481.67.5.pdf" Type="http://schemas.openxmlformats.org/officeDocument/2006/relationships/hyperlink" Id="rId32"/>
    <Relationship TargetMode="External" Target="https://www.legis.iowa.gov/docs/iac/rule/481.68.13.pdf" Type="http://schemas.openxmlformats.org/officeDocument/2006/relationships/hyperlink" Id="rId33"/>
    <Relationship TargetMode="External" Target="https://www.legis.iowa.gov/docs/iac/rule/481.68.13.pdf" Type="http://schemas.openxmlformats.org/officeDocument/2006/relationships/hyperlink" Id="rId34"/>
    <Relationship TargetMode="External" Target="https://www.legis.iowa.gov/docs/iac/rule/481.68.17.pdf" Type="http://schemas.openxmlformats.org/officeDocument/2006/relationships/hyperlink" Id="rId35"/>
    <Relationship TargetMode="External" Target="https://www.legis.iowa.gov/docs/iac/rule/481.67.9.pdf" Type="http://schemas.openxmlformats.org/officeDocument/2006/relationships/hyperlink" Id="rId36"/>
    <Relationship TargetMode="External" Target="https://www.legis.iowa.gov/docs/iac/chapter/441.81.pdf" Type="http://schemas.openxmlformats.org/officeDocument/2006/relationships/hyperlink" Id="rId37"/>
    <Relationship TargetMode="External" Target="https://www.legis.iowa.gov/docs/ico/chapter/249A.pdf" Type="http://schemas.openxmlformats.org/officeDocument/2006/relationships/hyperlink" Id="rId38"/>
    <Relationship TargetMode="External" Target="https://www.legis.iowa.gov/docs/ico/chapter/249A.pdf" Type="http://schemas.openxmlformats.org/officeDocument/2006/relationships/hyperlink" Id="rId39"/>
    <Relationship TargetMode="External" Target="https://www.legis.iowa.gov/docs/iac/rule/481.68.25.pdf" Type="http://schemas.openxmlformats.org/officeDocument/2006/relationships/hyperlink" Id="rId40"/>
    <Relationship TargetMode="External" Target="https://www.legis.iowa.gov/docs/ico/chapter/231B.pdf" Type="http://schemas.openxmlformats.org/officeDocument/2006/relationships/hyperlink" Id="rId41"/>
    <Relationship Target="media/document_image_rId42.jpeg" Type="http://schemas.openxmlformats.org/officeDocument/2006/relationships/image"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