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663</w:t>
      </w:r>
    </w:p>
    <w:p>
      <w:pPr>
        <w:spacing w:before="0" w:after="0"/>
        <w:ind w:left="120"/>
        <w:jc w:val="center"/>
      </w:pPr>
      <w:r>
        <w:rPr>
          <w:rFonts w:ascii="Times New Roman" w:hAnsi="Times New Roman"/>
          <w:b w:val="false"/>
          <w:i w:val="false"/>
          <w:color w:val="000000"/>
          <w:sz w:val="21"/>
        </w:rPr>
        <w:t>REINSTATEMENT AFTER DISCIPLINARY ACTION</w:t>
      </w:r>
    </w:p>
    <w:p>
      <w:pPr>
        <w:spacing w:before="0" w:after="0"/>
        <w:ind w:left="120"/>
        <w:jc w:val="center"/>
      </w:pPr>
      <w:r>
        <w:rPr>
          <w:rFonts w:ascii="Times New Roman" w:hAnsi="Times New Roman"/>
          <w:b w:val="false"/>
          <w:i w:val="false"/>
          <w:color w:val="000000"/>
          <w:sz w:val="20"/>
        </w:rPr>
        <w:t>[Prior to 7/19/06, see Medical Examiners Board[653] Ch 12]</w:t>
      </w:r>
    </w:p>
    <w:p>
      <w:pPr>
        <w:spacing w:before="0" w:after="0"/>
        <w:ind w:left="120"/>
        <w:jc w:val="center"/>
      </w:pPr>
      <w:r>
        <w:rPr>
          <w:rFonts w:ascii="Times New Roman" w:hAnsi="Times New Roman"/>
          <w:b w:val="false"/>
          <w:i w:val="false"/>
          <w:color w:val="000000"/>
          <w:sz w:val="20"/>
        </w:rPr>
        <w:t>[Prior to 6/11/25, see Medicine Board[653] Ch 26]</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5/21/30</w:t>
      </w:r>
    </w:p>
    <w:p>
      <w:pPr>
        <w:spacing w:before="0" w:after="0"/>
        <w:ind w:left="120"/>
        <w:jc w:val="both"/>
      </w:pPr>
      <w:r>
        <w:rPr>
          <w:rFonts w:ascii="Times New Roman" w:hAnsi="Times New Roman"/>
          <w:b/>
          <w:i w:val="false"/>
          <w:color w:val="000000"/>
          <w:sz w:val="22"/>
        </w:rPr>
        <w:t>481—663.1</w:t>
      </w:r>
      <w:r>
        <w:rPr>
          <w:rFonts w:ascii="Times New Roman" w:hAnsi="Times New Roman"/>
          <w:b/>
          <w:i w:val="false"/>
          <w:color w:val="000000"/>
          <w:sz w:val="22"/>
        </w:rPr>
        <w:t xml:space="preserve">(17A) </w:t>
      </w:r>
      <w:r>
        <w:rPr>
          <w:rFonts w:ascii="Times New Roman" w:hAnsi="Times New Roman"/>
          <w:b/>
          <w:i w:val="false"/>
          <w:color w:val="000000"/>
          <w:sz w:val="22"/>
        </w:rPr>
        <w:t xml:space="preserve">Reinstatement. </w:t>
      </w:r>
      <w:r>
        <w:rPr>
          <w:rFonts w:ascii="Times New Roman" w:hAnsi="Times New Roman"/>
          <w:b w:val="false"/>
          <w:i w:val="false"/>
          <w:color w:val="000000"/>
          <w:sz w:val="22"/>
        </w:rPr>
        <w:t>Any person whose license has not been permanently suspended or revoked by the board may apply to the board for reinstatement in accordance with the terms and conditions of the order of revocation or suspension.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663.1(1)</w:t>
      </w:r>
      <w:r>
        <w:rPr>
          <w:rFonts w:ascii="Times New Roman" w:hAnsi="Times New Roman"/>
          <w:b w:val="false"/>
          <w:i w:val="false"/>
          <w:color w:val="000000"/>
          <w:sz w:val="22"/>
        </w:rPr>
        <w:t> </w:t>
      </w:r>
      <w:r>
        <w:rPr>
          <w:rFonts w:ascii="Times New Roman" w:hAnsi="Times New Roman"/>
          <w:b w:val="false"/>
          <w:i w:val="false"/>
          <w:color w:val="000000"/>
          <w:sz w:val="22"/>
        </w:rPr>
        <w:t>If the order of revocation or suspension did not establish terms and conditions upon which reinstatement might occur, or if the license was voluntarily surrendered, an initial application for reinstatement may not be made until one year has elapsed from the date of the board order or the date of voluntary surrender.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663.1(2)</w:t>
      </w:r>
      <w:r>
        <w:rPr>
          <w:rFonts w:ascii="Times New Roman" w:hAnsi="Times New Roman"/>
          <w:b w:val="false"/>
          <w:i w:val="false"/>
          <w:color w:val="000000"/>
          <w:sz w:val="22"/>
        </w:rPr>
        <w:t> </w:t>
      </w:r>
      <w:r>
        <w:rPr>
          <w:rFonts w:ascii="Times New Roman" w:hAnsi="Times New Roman"/>
          <w:b w:val="false"/>
          <w:i w:val="false"/>
          <w:color w:val="000000"/>
          <w:sz w:val="22"/>
        </w:rPr>
        <w:t>All proceedings for reinstatement shall be initiated by the respondent, who shall file with the board an application for the reinstatement of the respondent’s license. Such application will be docketed in the original case in which the license was revoked, suspended, or relinquished. All proceedings upon the petition for reinstatement are subject to the same rules of procedure as other cases before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663.1(3)</w:t>
      </w:r>
      <w:r>
        <w:rPr>
          <w:rFonts w:ascii="Times New Roman" w:hAnsi="Times New Roman"/>
          <w:b w:val="false"/>
          <w:i w:val="false"/>
          <w:color w:val="000000"/>
          <w:sz w:val="22"/>
        </w:rPr>
        <w:t> </w:t>
      </w:r>
      <w:r>
        <w:rPr>
          <w:rFonts w:ascii="Times New Roman" w:hAnsi="Times New Roman"/>
          <w:b w:val="false"/>
          <w:i w:val="false"/>
          <w:color w:val="000000"/>
          <w:sz w:val="22"/>
        </w:rPr>
        <w:t>An application for reinstatement shall allege facts that, if established, will be sufficient to enable the board to determine that the basis for the revocation or suspension of the respondent’s license no longer exists and that it will be in the public interest for the license to be reinstated. The burden of proof to establish such facts is on the respondent.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663.1(4)</w:t>
      </w:r>
      <w:r>
        <w:rPr>
          <w:rFonts w:ascii="Times New Roman" w:hAnsi="Times New Roman"/>
          <w:b w:val="false"/>
          <w:i w:val="false"/>
          <w:color w:val="000000"/>
          <w:sz w:val="22"/>
        </w:rPr>
        <w:t> </w:t>
      </w:r>
      <w:r>
        <w:rPr>
          <w:rFonts w:ascii="Times New Roman" w:hAnsi="Times New Roman"/>
          <w:b w:val="false"/>
          <w:i w:val="false"/>
          <w:color w:val="000000"/>
          <w:sz w:val="22"/>
        </w:rPr>
        <w:t>At the board’s discretion, the board and the licensee may agree to enter into a reinstatement order by agreement, in lieu of a formal reinstatement hearing before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663.1(5)</w:t>
      </w:r>
      <w:r>
        <w:rPr>
          <w:rFonts w:ascii="Times New Roman" w:hAnsi="Times New Roman"/>
          <w:b w:val="false"/>
          <w:i w:val="false"/>
          <w:color w:val="000000"/>
          <w:sz w:val="22"/>
        </w:rPr>
        <w:t> </w:t>
      </w:r>
      <w:r>
        <w:rPr>
          <w:rFonts w:ascii="Times New Roman" w:hAnsi="Times New Roman"/>
          <w:b w:val="false"/>
          <w:i w:val="false"/>
          <w:color w:val="000000"/>
          <w:sz w:val="22"/>
        </w:rPr>
        <w:t xml:space="preserve">A reinstatement order must be based upon the affirmative vote of a quorum of the board. The reinstatement order is public information pursuant to </w:t>
      </w:r>
      <w:hyperlink r:id="rId5">
        <w:r>
          <w:rPr>
            <w:rStyle w:val="Hyperlink"/>
            <w:rFonts w:ascii="Times New Roman" w:hAnsi="Times New Roman"/>
            <w:b w:val="false"/>
            <w:i w:val="false"/>
            <w:color w:val="000000"/>
            <w:sz w:val="22"/>
          </w:rPr>
          <w:t>481—Chapter 506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663.1(6)</w:t>
      </w:r>
      <w:r>
        <w:rPr>
          <w:rFonts w:ascii="Times New Roman" w:hAnsi="Times New Roman"/>
          <w:b w:val="false"/>
          <w:i w:val="false"/>
          <w:color w:val="000000"/>
          <w:sz w:val="22"/>
        </w:rPr>
        <w:t> </w:t>
      </w:r>
      <w:r>
        <w:rPr>
          <w:rFonts w:ascii="Times New Roman" w:hAnsi="Times New Roman"/>
          <w:b w:val="false"/>
          <w:i w:val="false"/>
          <w:color w:val="000000"/>
          <w:sz w:val="22"/>
        </w:rPr>
        <w:t xml:space="preserve">A physician seeking reinstatement under this rule whose license became inactive during the period of suspension or revocation is also required to complete the reactivation process set forth in rule </w:t>
      </w:r>
      <w:hyperlink r:id="rId6">
        <w:r>
          <w:rPr>
            <w:rStyle w:val="Hyperlink"/>
            <w:rFonts w:ascii="Times New Roman" w:hAnsi="Times New Roman"/>
            <w:b w:val="false"/>
            <w:i w:val="false"/>
            <w:color w:val="000000"/>
            <w:sz w:val="22"/>
          </w:rPr>
          <w:t>481—652.13</w:t>
        </w:r>
      </w:hyperlink>
      <w:r>
        <w:rPr>
          <w:rFonts w:ascii="Times New Roman" w:hAnsi="Times New Roman"/>
          <w:b w:val="false"/>
          <w:i w:val="false"/>
          <w:color w:val="000000"/>
          <w:sz w:val="22"/>
        </w:rPr>
        <w:t xml:space="preserve">(147,148) or </w:t>
      </w:r>
      <w:hyperlink r:id="rId7">
        <w:r>
          <w:rPr>
            <w:rStyle w:val="Hyperlink"/>
            <w:rFonts w:ascii="Times New Roman" w:hAnsi="Times New Roman"/>
            <w:b w:val="false"/>
            <w:i w:val="false"/>
            <w:color w:val="000000"/>
            <w:sz w:val="22"/>
          </w:rPr>
          <w:t>481—652.14</w:t>
        </w:r>
      </w:hyperlink>
      <w:r>
        <w:rPr>
          <w:rFonts w:ascii="Times New Roman" w:hAnsi="Times New Roman"/>
          <w:b w:val="false"/>
          <w:i w:val="false"/>
          <w:color w:val="000000"/>
          <w:sz w:val="22"/>
        </w:rPr>
        <w:t>(147,148).</w:t>
      </w:r>
    </w:p>
    <w:p>
      <w:pPr>
        <w:spacing w:before="0" w:after="0"/>
        <w:ind w:left="120"/>
        <w:jc w:val="both"/>
      </w:pPr>
      <w:r>
        <w:rPr>
          <w:rFonts w:ascii="Times New Roman" w:hAnsi="Times New Roman"/>
          <w:b w:val="false"/>
          <w:i w:val="false"/>
          <w:color w:val="000000"/>
          <w:sz w:val="22"/>
        </w:rPr>
        <w:t xml:space="preserve">This rule is intended to implement Iowa Code chapters </w:t>
      </w:r>
      <w:hyperlink r:id="rId8">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9">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10">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9122C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2/5/79, Notice 11/29/78—published 2/21/79, effective 3/29/79]</w:t>
      </w:r>
    </w:p>
    <w:p>
      <w:pPr>
        <w:spacing w:before="0" w:after="0"/>
        <w:ind w:left="120"/>
        <w:jc w:val="center"/>
      </w:pPr>
      <w:r>
        <w:rPr>
          <w:rFonts w:ascii="Times New Roman" w:hAnsi="Times New Roman"/>
          <w:b w:val="false"/>
          <w:i w:val="false"/>
          <w:color w:val="000000"/>
          <w:sz w:val="21"/>
        </w:rPr>
        <w:t>[Filed without Notice 2/14/80—published 3/5/80, effective 4/9/80]</w:t>
      </w:r>
    </w:p>
    <w:p>
      <w:pPr>
        <w:spacing w:before="0" w:after="0"/>
        <w:ind w:left="120"/>
        <w:jc w:val="center"/>
      </w:pPr>
      <w:r>
        <w:rPr>
          <w:rFonts w:ascii="Times New Roman" w:hAnsi="Times New Roman"/>
          <w:b w:val="false"/>
          <w:i w:val="false"/>
          <w:color w:val="000000"/>
          <w:sz w:val="21"/>
        </w:rPr>
        <w:t>[Filed 10/10/80, Notice 8/20/80—published 10/29/80, effective 12/3/80]</w:t>
      </w:r>
    </w:p>
    <w:p>
      <w:pPr>
        <w:spacing w:before="0" w:after="0"/>
        <w:ind w:left="120"/>
        <w:jc w:val="center"/>
      </w:pPr>
      <w:r>
        <w:rPr>
          <w:rFonts w:ascii="Times New Roman" w:hAnsi="Times New Roman"/>
          <w:b w:val="false"/>
          <w:i w:val="false"/>
          <w:color w:val="000000"/>
          <w:sz w:val="21"/>
        </w:rPr>
        <w:t>[Filed 6/14/82, Notice 4/28/82—published 7/7/82, effective 8/11/82]</w:t>
      </w:r>
    </w:p>
    <w:p>
      <w:pPr>
        <w:spacing w:before="0" w:after="0"/>
        <w:ind w:left="120"/>
        <w:jc w:val="center"/>
      </w:pPr>
      <w:r>
        <w:rPr>
          <w:rFonts w:ascii="Times New Roman" w:hAnsi="Times New Roman"/>
          <w:b w:val="false"/>
          <w:i w:val="false"/>
          <w:color w:val="000000"/>
          <w:sz w:val="21"/>
        </w:rPr>
        <w:t>[Filed 9/9/83, Notice 8/3/83—published 9/28/83, effective 11/2/83</w:t>
      </w:r>
      <w:r>
        <w:rPr>
          <w:rFonts w:ascii="Times New Roman" w:hAnsi="Times New Roman"/>
          <w:b w:val="false"/>
          <w:i w:val="false"/>
          <w:color w:val="000000"/>
          <w:sz w:val="10"/>
        </w:rPr>
        <w:t>1</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3/9/84, Notice 1/18/84—published 3/28/84, effective 5/2/84]</w:t>
      </w:r>
    </w:p>
    <w:p>
      <w:pPr>
        <w:spacing w:before="0" w:after="0"/>
        <w:ind w:left="120"/>
        <w:jc w:val="center"/>
      </w:pPr>
      <w:r>
        <w:rPr>
          <w:rFonts w:ascii="Times New Roman" w:hAnsi="Times New Roman"/>
          <w:b w:val="false"/>
          <w:i w:val="false"/>
          <w:color w:val="000000"/>
          <w:sz w:val="21"/>
        </w:rPr>
        <w:t>[Filed 10/19/84, Notice 8/29/84—published 11/7/84, effective 12/12/84</w:t>
      </w:r>
      <w:r>
        <w:rPr>
          <w:rFonts w:ascii="Times New Roman" w:hAnsi="Times New Roman"/>
          <w:b w:val="false"/>
          <w:i w:val="false"/>
          <w:color w:val="000000"/>
          <w:sz w:val="10"/>
        </w:rPr>
        <w:t>2</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emergency 4/15/88—published 5/4/88, effective 4/15/88]</w:t>
      </w:r>
    </w:p>
    <w:p>
      <w:pPr>
        <w:spacing w:before="0" w:after="0"/>
        <w:ind w:left="120"/>
        <w:jc w:val="center"/>
      </w:pPr>
      <w:r>
        <w:rPr>
          <w:rFonts w:ascii="Times New Roman" w:hAnsi="Times New Roman"/>
          <w:b w:val="false"/>
          <w:i w:val="false"/>
          <w:color w:val="000000"/>
          <w:sz w:val="21"/>
        </w:rPr>
        <w:t>[Filed 10/28/88, Notice 6/15/88—published 11/16/88, effective 12/21/88]</w:t>
      </w:r>
    </w:p>
    <w:p>
      <w:pPr>
        <w:spacing w:before="0" w:after="0"/>
        <w:ind w:left="120"/>
        <w:jc w:val="center"/>
      </w:pPr>
      <w:r>
        <w:rPr>
          <w:rFonts w:ascii="Times New Roman" w:hAnsi="Times New Roman"/>
          <w:b w:val="false"/>
          <w:i w:val="false"/>
          <w:color w:val="000000"/>
          <w:sz w:val="21"/>
        </w:rPr>
        <w:t>[Filed 7/21/89, Notice 5/17/89—published 8/9/89, effective 9/13/89]</w:t>
      </w:r>
    </w:p>
    <w:p>
      <w:pPr>
        <w:spacing w:before="0" w:after="0"/>
        <w:ind w:left="120"/>
        <w:jc w:val="center"/>
      </w:pPr>
      <w:r>
        <w:rPr>
          <w:rFonts w:ascii="Times New Roman" w:hAnsi="Times New Roman"/>
          <w:b w:val="false"/>
          <w:i w:val="false"/>
          <w:color w:val="000000"/>
          <w:sz w:val="21"/>
        </w:rPr>
        <w:t>[Filed 8/2/90, Notice 5/30/90—published 8/22/90, effective 9/26/90]</w:t>
      </w:r>
    </w:p>
    <w:p>
      <w:pPr>
        <w:spacing w:before="0" w:after="0"/>
        <w:ind w:left="120"/>
        <w:jc w:val="center"/>
      </w:pPr>
      <w:r>
        <w:rPr>
          <w:rFonts w:ascii="Times New Roman" w:hAnsi="Times New Roman"/>
          <w:b w:val="false"/>
          <w:i w:val="false"/>
          <w:color w:val="000000"/>
          <w:sz w:val="21"/>
        </w:rPr>
        <w:t>[Filed 4/1/94, Notice 2/2/94—published 4/27/94, effective 6/1/94]</w:t>
      </w:r>
    </w:p>
    <w:p>
      <w:pPr>
        <w:spacing w:before="0" w:after="0"/>
        <w:ind w:left="120"/>
        <w:jc w:val="center"/>
      </w:pPr>
      <w:r>
        <w:rPr>
          <w:rFonts w:ascii="Times New Roman" w:hAnsi="Times New Roman"/>
          <w:b w:val="false"/>
          <w:i w:val="false"/>
          <w:color w:val="000000"/>
          <w:sz w:val="21"/>
        </w:rPr>
        <w:t>[Filed 11/3/94, Notice 9/28/94—published 11/23/94, effective 12/28/94]</w:t>
      </w:r>
    </w:p>
    <w:p>
      <w:pPr>
        <w:spacing w:before="0" w:after="0"/>
        <w:ind w:left="120"/>
        <w:jc w:val="center"/>
      </w:pPr>
      <w:r>
        <w:rPr>
          <w:rFonts w:ascii="Times New Roman" w:hAnsi="Times New Roman"/>
          <w:b w:val="false"/>
          <w:i w:val="false"/>
          <w:color w:val="000000"/>
          <w:sz w:val="21"/>
        </w:rPr>
        <w:t>[Filed 12/14/95, Notice 8/30/95—published 1/3/96, effective 2/7/96]</w:t>
      </w:r>
    </w:p>
    <w:p>
      <w:pPr>
        <w:spacing w:before="0" w:after="0"/>
        <w:ind w:left="120"/>
        <w:jc w:val="center"/>
      </w:pPr>
      <w:r>
        <w:rPr>
          <w:rFonts w:ascii="Times New Roman" w:hAnsi="Times New Roman"/>
          <w:b w:val="false"/>
          <w:i w:val="false"/>
          <w:color w:val="000000"/>
          <w:sz w:val="21"/>
        </w:rPr>
        <w:t>[Filed 2/23/96, Notice 9/27/95—published 3/13/96, effective 4/17/96]</w:t>
      </w:r>
    </w:p>
    <w:p>
      <w:pPr>
        <w:spacing w:before="0" w:after="0"/>
        <w:ind w:left="120"/>
        <w:jc w:val="center"/>
      </w:pPr>
      <w:r>
        <w:rPr>
          <w:rFonts w:ascii="Times New Roman" w:hAnsi="Times New Roman"/>
          <w:b w:val="false"/>
          <w:i w:val="false"/>
          <w:color w:val="000000"/>
          <w:sz w:val="21"/>
        </w:rPr>
        <w:t>[Filed 2/23/96, Notice 1/3/96—published 3/13/96, effective 4/17/96]</w:t>
      </w:r>
    </w:p>
    <w:p>
      <w:pPr>
        <w:spacing w:before="0" w:after="0"/>
        <w:ind w:left="120"/>
        <w:jc w:val="center"/>
      </w:pPr>
      <w:r>
        <w:rPr>
          <w:rFonts w:ascii="Times New Roman" w:hAnsi="Times New Roman"/>
          <w:b w:val="false"/>
          <w:i w:val="false"/>
          <w:color w:val="000000"/>
          <w:sz w:val="21"/>
        </w:rPr>
        <w:t>[Filed 5/2/97, Notice 3/12/97—published 5/21/97, effective 6/25/97]</w:t>
      </w:r>
    </w:p>
    <w:p>
      <w:pPr>
        <w:spacing w:before="0" w:after="0"/>
        <w:ind w:left="120"/>
        <w:jc w:val="center"/>
      </w:pPr>
      <w:r>
        <w:rPr>
          <w:rFonts w:ascii="Times New Roman" w:hAnsi="Times New Roman"/>
          <w:b w:val="false"/>
          <w:i w:val="false"/>
          <w:color w:val="000000"/>
          <w:sz w:val="21"/>
        </w:rPr>
        <w:t>[Filed 5/2/97, Notice 3/26/97—published 5/21/97, effective 6/25/97]</w:t>
      </w:r>
    </w:p>
    <w:p>
      <w:pPr>
        <w:spacing w:before="0" w:after="0"/>
        <w:ind w:left="120"/>
        <w:jc w:val="center"/>
      </w:pPr>
      <w:r>
        <w:rPr>
          <w:rFonts w:ascii="Times New Roman" w:hAnsi="Times New Roman"/>
          <w:b w:val="false"/>
          <w:i w:val="false"/>
          <w:color w:val="000000"/>
          <w:sz w:val="21"/>
        </w:rPr>
        <w:t>[Filed 2/2/98, Notice 11/5/97—published 2/25/98, effective 4/1/98]</w:t>
      </w:r>
    </w:p>
    <w:p>
      <w:pPr>
        <w:spacing w:before="0" w:after="0"/>
        <w:ind w:left="120"/>
        <w:jc w:val="center"/>
      </w:pPr>
      <w:r>
        <w:rPr>
          <w:rFonts w:ascii="Times New Roman" w:hAnsi="Times New Roman"/>
          <w:b w:val="false"/>
          <w:i w:val="false"/>
          <w:color w:val="000000"/>
          <w:sz w:val="21"/>
        </w:rPr>
        <w:t>[Filed 6/12/98, Notice 4/22/98—published 7/1/98, effective 8/5/98]</w:t>
      </w:r>
    </w:p>
    <w:p>
      <w:pPr>
        <w:spacing w:before="0" w:after="0"/>
        <w:ind w:left="120"/>
        <w:jc w:val="center"/>
      </w:pPr>
      <w:r>
        <w:rPr>
          <w:rFonts w:ascii="Times New Roman" w:hAnsi="Times New Roman"/>
          <w:b w:val="false"/>
          <w:i w:val="false"/>
          <w:color w:val="000000"/>
          <w:sz w:val="21"/>
        </w:rPr>
        <w:t>[Filed 2/5/99, Notice 12/2/98—published 2/24/99, effective 3/31/99]</w:t>
      </w:r>
    </w:p>
    <w:p>
      <w:pPr>
        <w:spacing w:before="0" w:after="0"/>
        <w:ind w:left="120"/>
        <w:jc w:val="center"/>
      </w:pPr>
      <w:r>
        <w:rPr>
          <w:rFonts w:ascii="Times New Roman" w:hAnsi="Times New Roman"/>
          <w:b w:val="false"/>
          <w:i w:val="false"/>
          <w:color w:val="000000"/>
          <w:sz w:val="21"/>
        </w:rPr>
        <w:t>[Filed 4/30/99, Notice 3/24/99—published 5/19/99, effective 7/1/99]</w:t>
      </w:r>
    </w:p>
    <w:p>
      <w:pPr>
        <w:spacing w:before="0" w:after="0"/>
        <w:ind w:left="120"/>
        <w:jc w:val="center"/>
      </w:pPr>
      <w:r>
        <w:rPr>
          <w:rFonts w:ascii="Times New Roman" w:hAnsi="Times New Roman"/>
          <w:b w:val="false"/>
          <w:i w:val="false"/>
          <w:color w:val="000000"/>
          <w:sz w:val="21"/>
        </w:rPr>
        <w:t>[Filed 11/10/99, Notice 9/22/99—published 12/1/99, effective 1/5/00]</w:t>
      </w:r>
    </w:p>
    <w:p>
      <w:pPr>
        <w:spacing w:before="0" w:after="0"/>
        <w:ind w:left="120"/>
        <w:jc w:val="center"/>
      </w:pPr>
      <w:r>
        <w:rPr>
          <w:rFonts w:ascii="Times New Roman" w:hAnsi="Times New Roman"/>
          <w:b w:val="false"/>
          <w:i w:val="false"/>
          <w:color w:val="000000"/>
          <w:sz w:val="21"/>
        </w:rPr>
        <w:t>[Filed 12/1/00, Notice 10/18/00—published 12/27/00, effective 1/31/01]</w:t>
      </w:r>
    </w:p>
    <w:p>
      <w:pPr>
        <w:spacing w:before="0" w:after="0"/>
        <w:ind w:left="120"/>
        <w:jc w:val="center"/>
      </w:pPr>
      <w:r>
        <w:rPr>
          <w:rFonts w:ascii="Times New Roman" w:hAnsi="Times New Roman"/>
          <w:b w:val="false"/>
          <w:i w:val="false"/>
          <w:color w:val="000000"/>
          <w:sz w:val="21"/>
        </w:rPr>
        <w:t>[Filed 5/11/01, Notice 4/4/01—published 5/30/01, effective 7/4/01]</w:t>
      </w:r>
    </w:p>
    <w:p>
      <w:pPr>
        <w:spacing w:before="0" w:after="0"/>
        <w:ind w:left="120"/>
        <w:jc w:val="center"/>
      </w:pPr>
      <w:r>
        <w:rPr>
          <w:rFonts w:ascii="Times New Roman" w:hAnsi="Times New Roman"/>
          <w:b w:val="false"/>
          <w:i w:val="false"/>
          <w:color w:val="000000"/>
          <w:sz w:val="21"/>
        </w:rPr>
        <w:t>[Filed 2/14/02, Notice 1/9/02—published 3/6/02, effective 4/10/02]</w:t>
      </w:r>
    </w:p>
    <w:p>
      <w:pPr>
        <w:spacing w:before="0" w:after="0"/>
        <w:ind w:left="120"/>
        <w:jc w:val="center"/>
      </w:pPr>
      <w:r>
        <w:rPr>
          <w:rFonts w:ascii="Times New Roman" w:hAnsi="Times New Roman"/>
          <w:b w:val="false"/>
          <w:i w:val="false"/>
          <w:color w:val="000000"/>
          <w:sz w:val="21"/>
        </w:rPr>
        <w:t>[Filed 6/6/02, Notice 3/6/02—published 6/26/02, effective 7/31/02]</w:t>
      </w:r>
    </w:p>
    <w:p>
      <w:pPr>
        <w:spacing w:before="0" w:after="0"/>
        <w:ind w:left="120"/>
        <w:jc w:val="center"/>
      </w:pPr>
      <w:r>
        <w:rPr>
          <w:rFonts w:ascii="Times New Roman" w:hAnsi="Times New Roman"/>
          <w:b w:val="false"/>
          <w:i w:val="false"/>
          <w:color w:val="000000"/>
          <w:sz w:val="21"/>
        </w:rPr>
        <w:t>[Filed 5/20/04, Notice 4/14/04—published 6/9/04, effective 7/14/04]</w:t>
      </w:r>
    </w:p>
    <w:p>
      <w:pPr>
        <w:spacing w:before="0" w:after="0"/>
        <w:ind w:left="120"/>
        <w:jc w:val="center"/>
      </w:pPr>
      <w:r>
        <w:rPr>
          <w:rFonts w:ascii="Times New Roman" w:hAnsi="Times New Roman"/>
          <w:b w:val="false"/>
          <w:i w:val="false"/>
          <w:color w:val="000000"/>
          <w:sz w:val="21"/>
        </w:rPr>
        <w:t>[Filed 7/16/04, Notice 6/9/04—published 8/4/04, effective 9/8/04]</w:t>
      </w:r>
    </w:p>
    <w:p>
      <w:pPr>
        <w:spacing w:before="0" w:after="0"/>
        <w:ind w:left="120"/>
        <w:jc w:val="center"/>
      </w:pPr>
      <w:r>
        <w:rPr>
          <w:rFonts w:ascii="Times New Roman" w:hAnsi="Times New Roman"/>
          <w:b w:val="false"/>
          <w:i w:val="false"/>
          <w:color w:val="000000"/>
          <w:sz w:val="21"/>
        </w:rPr>
        <w:t>[Filed 7/29/05, Notice 6/22/05—published 8/17/05, effective 9/21/05]</w:t>
      </w:r>
    </w:p>
    <w:p>
      <w:pPr>
        <w:spacing w:before="0" w:after="0"/>
        <w:ind w:left="120"/>
        <w:jc w:val="center"/>
      </w:pPr>
      <w:r>
        <w:rPr>
          <w:rFonts w:ascii="Times New Roman" w:hAnsi="Times New Roman"/>
          <w:b w:val="false"/>
          <w:i w:val="false"/>
          <w:color w:val="000000"/>
          <w:sz w:val="21"/>
        </w:rPr>
        <w:t>[Filed 6/27/06, Notice 2/15/06—published 7/19/06, effective 8/23/06]</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9/18/08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8/13/08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10/8/08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11/12/08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9122C</w:t>
      </w:r>
      <w:r>
        <w:rPr>
          <w:rFonts w:ascii="Times New Roman" w:hAnsi="Times New Roman"/>
          <w:b w:val="false"/>
          <w:i w:val="false"/>
          <w:color w:val="000000"/>
          <w:sz w:val="21"/>
        </w:rPr>
        <w:t xml:space="preserve"> (Notice ARC 8694C, IAB 12/25/24)</w:t>
      </w:r>
      <w:r>
        <w:rPr>
          <w:rFonts w:ascii="Times New Roman" w:hAnsi="Times New Roman"/>
          <w:b w:val="false"/>
          <w:i w:val="false"/>
          <w:color w:val="000000"/>
          <w:sz w:val="21"/>
        </w:rPr>
        <w:t>, IAB 4/16/25, effective 5/21/25]</w:t>
      </w:r>
    </w:p>
    <w:p>
      <w:pPr>
        <w:spacing w:before="0" w:after="0"/>
        <w:ind w:left="120"/>
        <w:jc w:val="center"/>
      </w:pPr>
      <w:r>
        <w:rPr>
          <w:rFonts w:ascii="Times New Roman" w:hAnsi="Times New Roman"/>
          <w:b w:val="false"/>
          <w:i w:val="false"/>
          <w:color w:val="000000"/>
          <w:sz w:val="21"/>
        </w:rPr>
        <w:t>[Editorial change: IAC Supplement 6/11/25]</w:t>
      </w:r>
    </w:p>
    <w:p>
      <w:pPr>
        <w:pBdr>
          <w:bottom w:space="2"/>
        </w:pBdr>
        <w:spacing w:before="0" w:after="0"/>
        <w:ind w:left="120"/>
        <w:jc w:val="both"/>
      </w:pPr>
      <w:r>
        <w:rPr>
          <w:rFonts w:ascii="Times New Roman" w:hAnsi="Times New Roman"/>
          <w:b w:val="false"/>
          <w:i w:val="false"/>
          <w:color w:val="000000"/>
          <w:sz w:val="22"/>
        </w:rPr>
        <w:t>Effective date of subrule 135.204(10) [renumbered 12/4(10), IAC 5/4/88] delayed by the Administrative Rules Review Committee 70 days from November 2, 1983.</w:t>
      </w:r>
    </w:p>
    <w:p>
      <w:pPr>
        <w:pBdr>
          <w:bottom w:space="2"/>
        </w:pBdr>
        <w:spacing w:before="0" w:after="0"/>
        <w:ind w:left="120"/>
        <w:jc w:val="both"/>
      </w:pPr>
      <w:r>
        <w:rPr>
          <w:rFonts w:ascii="Times New Roman" w:hAnsi="Times New Roman"/>
          <w:b w:val="false"/>
          <w:i w:val="false"/>
          <w:color w:val="000000"/>
          <w:sz w:val="22"/>
        </w:rPr>
        <w:t>Effective date of rules 135.206, 135.207 and 135.208 [renumbered 12.6, 12.7 and 12.8, IAC 5/4/88] delayed by the Administrative Rules Review Committee 70 days from December 12, 1984. Delay lifted by committee on January 9, 1985.</w:t>
      </w:r>
    </w:p>
    <w:sectPr>
      <w:footerReference r:id="rId12"/>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481.506.pdf" Type="http://schemas.openxmlformats.org/officeDocument/2006/relationships/hyperlink" Id="rId5"/>
    <Relationship TargetMode="External" Target="https://www.legis.iowa.gov/docs/iac/rule/481.652.13.pdf" Type="http://schemas.openxmlformats.org/officeDocument/2006/relationships/hyperlink" Id="rId6"/>
    <Relationship TargetMode="External" Target="https://www.legis.iowa.gov/docs/iac/rule/481.652.14.pdf" Type="http://schemas.openxmlformats.org/officeDocument/2006/relationships/hyperlink" Id="rId7"/>
    <Relationship TargetMode="External" Target="https://www.legis.iowa.gov/docs/ico/chapter/17A.pdf" Type="http://schemas.openxmlformats.org/officeDocument/2006/relationships/hyperlink" Id="rId8"/>
    <Relationship TargetMode="External" Target="https://www.legis.iowa.gov/docs/ico/chapter/147.pdf" Type="http://schemas.openxmlformats.org/officeDocument/2006/relationships/hyperlink" Id="rId9"/>
    <Relationship TargetMode="External" Target="https://www.legis.iowa.gov/docs/ico/chapter/148.pdf" Type="http://schemas.openxmlformats.org/officeDocument/2006/relationships/hyperlink" Id="rId10"/>
    <Relationship TargetMode="External" Target="https://www.legis.iowa.gov/docs/ico/chapter/272C.pdf" Type="http://schemas.openxmlformats.org/officeDocument/2006/relationships/hyperlink" Id="rId11"/>
    <Relationship Target="footer.xml" Type="http://schemas.openxmlformats.org/officeDocument/2006/relationships/footer" Id="rId1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