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661</w:t>
      </w:r>
    </w:p>
    <w:p>
      <w:pPr>
        <w:spacing w:before="0" w:after="0"/>
        <w:ind w:left="120"/>
        <w:jc w:val="center"/>
      </w:pPr>
      <w:r>
        <w:rPr>
          <w:rFonts w:ascii="Times New Roman" w:hAnsi="Times New Roman"/>
          <w:b w:val="false"/>
          <w:i w:val="false"/>
          <w:color w:val="000000"/>
          <w:sz w:val="21"/>
        </w:rPr>
        <w:t>GROUNDS FOR DISCIPLINE</w:t>
      </w:r>
    </w:p>
    <w:p>
      <w:pPr>
        <w:spacing w:before="0" w:after="0"/>
        <w:ind w:left="120"/>
        <w:jc w:val="center"/>
      </w:pPr>
      <w:r>
        <w:rPr>
          <w:rFonts w:ascii="Times New Roman" w:hAnsi="Times New Roman"/>
          <w:b w:val="false"/>
          <w:i w:val="false"/>
          <w:color w:val="000000"/>
          <w:sz w:val="20"/>
        </w:rPr>
        <w:t>[Prior to 7/19/06, see Medical Examiners Board [653] C 12]</w:t>
      </w:r>
    </w:p>
    <w:p>
      <w:pPr>
        <w:spacing w:before="0" w:after="0"/>
        <w:ind w:left="120"/>
        <w:jc w:val="center"/>
      </w:pPr>
      <w:r>
        <w:rPr>
          <w:rFonts w:ascii="Times New Roman" w:hAnsi="Times New Roman"/>
          <w:b w:val="false"/>
          <w:i w:val="false"/>
          <w:color w:val="000000"/>
          <w:sz w:val="20"/>
        </w:rPr>
        <w:t>[Prior to 6/11/25, see Medicine Board[653] Ch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481—661.1</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has the authority to impose discipline for any violation of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or the rules promulgated thereunder. The grounds for discipline apply to physicians, acupuncturists and genetic counselors. The board may impose any of the disciplinary sanctions set forth in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including civil penalties in an amount not to exceed $10,000, when the board determines that the licensee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the revocation or suspension of a license as listed in Iowa Code section </w:t>
      </w:r>
      <w:hyperlink r:id="rId1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 or repeated gross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Willful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licensee’s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by the licensee from the standards of learning or skill ordinarily possessed and applied by other physicians, acupuncturists or genetic counselors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failure by a physician, acupuncturist or genetic counselor to exercise in a substantial respect that degree of care that is ordinarily exercised by the average physician, acupuncturist or genetic counselor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willful or repeated departure from or the failure to conform to the minimal standard of acceptable and prevailing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meet the acceptable and prevailing standard of care when delegating or supervising services provided by another physician, health care practitioner or individual who is collaborating with or acting as an agent, associate, or employee of the physician, acupuncturist or genetic counselor responsible for the patient’s care,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w:t>
      </w:r>
      <w:r>
        <w:rPr>
          <w:rFonts w:ascii="Times New Roman" w:hAnsi="Times New Roman"/>
          <w:b w:val="false"/>
          <w:i w:val="false"/>
          <w:color w:val="000000"/>
          <w:sz w:val="22"/>
        </w:rPr>
        <w:t> </w:t>
      </w:r>
      <w:r>
        <w:rPr>
          <w:rFonts w:ascii="Times New Roman" w:hAnsi="Times New Roman"/>
          <w:b w:val="false"/>
          <w:i w:val="false"/>
          <w:color w:val="000000"/>
          <w:sz w:val="22"/>
        </w:rPr>
        <w:t>Practice harmful or detrimental to the public. Practice harmful or detrimental to the public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possess and exercise that degree of skill, learning and care expected of a reasonable, prudent physician, acupuncturist or genetic counselor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without reasonable skill and safety as a result of a mental or physical impairment, chemical abuse or chemical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acupuncturists only: prescribing, dispensing or administering any controlled substance or prescription medication for human use or performing any treatment or healing procedure not authorized in Iowa Code chapter </w:t>
      </w:r>
      <w:hyperlink r:id="rId19">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481—Chapter 656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w:t>
      </w:r>
      <w:r>
        <w:rPr>
          <w:rFonts w:ascii="Times New Roman" w:hAnsi="Times New Roman"/>
          <w:b w:val="false"/>
          <w:i w:val="false"/>
          <w:color w:val="000000"/>
          <w:sz w:val="22"/>
        </w:rPr>
        <w:t> </w:t>
      </w:r>
      <w:r>
        <w:rPr>
          <w:rFonts w:ascii="Times New Roman" w:hAnsi="Times New Roman"/>
          <w:b w:val="false"/>
          <w:i w:val="false"/>
          <w:color w:val="000000"/>
          <w:sz w:val="22"/>
        </w:rPr>
        <w:t xml:space="preserve">Unprofessional conduct. Engaging in unethical or unprofessional conduct includes but is not limited to the committing by a licensee of an act contrary to honesty, justice or good morals, whether the same is committed in the course of the licensee’s practice or otherwise, and whether committed within this state or elsewhere; or a violation of the standards and principles of medical ethics or rule </w:t>
      </w:r>
      <w:hyperlink r:id="rId21">
        <w:r>
          <w:rPr>
            <w:rStyle w:val="Hyperlink"/>
            <w:rFonts w:ascii="Times New Roman" w:hAnsi="Times New Roman"/>
            <w:b w:val="false"/>
            <w:i w:val="false"/>
            <w:color w:val="000000"/>
            <w:sz w:val="22"/>
          </w:rPr>
          <w:t>481—655.7</w:t>
        </w:r>
      </w:hyperlink>
      <w:r>
        <w:rPr>
          <w:rFonts w:ascii="Times New Roman" w:hAnsi="Times New Roman"/>
          <w:b w:val="false"/>
          <w:i w:val="false"/>
          <w:color w:val="000000"/>
          <w:sz w:val="22"/>
        </w:rPr>
        <w:t xml:space="preserve">(147,148,272C), </w:t>
      </w:r>
      <w:hyperlink r:id="rId22">
        <w:r>
          <w:rPr>
            <w:rStyle w:val="Hyperlink"/>
            <w:rFonts w:ascii="Times New Roman" w:hAnsi="Times New Roman"/>
            <w:b w:val="false"/>
            <w:i w:val="false"/>
            <w:color w:val="000000"/>
            <w:sz w:val="22"/>
          </w:rPr>
          <w:t>481—655.20</w:t>
        </w:r>
      </w:hyperlink>
      <w:r>
        <w:rPr>
          <w:rFonts w:ascii="Times New Roman" w:hAnsi="Times New Roman"/>
          <w:b w:val="false"/>
          <w:i w:val="false"/>
          <w:color w:val="000000"/>
          <w:sz w:val="22"/>
        </w:rPr>
        <w:t xml:space="preserve">(147,148), </w:t>
      </w:r>
      <w:hyperlink r:id="rId23">
        <w:r>
          <w:rPr>
            <w:rStyle w:val="Hyperlink"/>
            <w:rFonts w:ascii="Times New Roman" w:hAnsi="Times New Roman"/>
            <w:b w:val="false"/>
            <w:i w:val="false"/>
            <w:color w:val="000000"/>
            <w:sz w:val="22"/>
          </w:rPr>
          <w:t>481—656.10</w:t>
        </w:r>
      </w:hyperlink>
      <w:r>
        <w:rPr>
          <w:rFonts w:ascii="Times New Roman" w:hAnsi="Times New Roman"/>
          <w:b w:val="false"/>
          <w:i w:val="false"/>
          <w:color w:val="000000"/>
          <w:sz w:val="22"/>
        </w:rPr>
        <w:t xml:space="preserve">(147,148E,272C) or </w:t>
      </w:r>
      <w:hyperlink r:id="rId24">
        <w:r>
          <w:rPr>
            <w:rStyle w:val="Hyperlink"/>
            <w:rFonts w:ascii="Times New Roman" w:hAnsi="Times New Roman"/>
            <w:b w:val="false"/>
            <w:i w:val="false"/>
            <w:color w:val="000000"/>
            <w:sz w:val="22"/>
          </w:rPr>
          <w:t>481—658.4</w:t>
        </w:r>
      </w:hyperlink>
      <w:r>
        <w:rPr>
          <w:rFonts w:ascii="Times New Roman" w:hAnsi="Times New Roman"/>
          <w:b w:val="false"/>
          <w:i w:val="false"/>
          <w:color w:val="000000"/>
          <w:sz w:val="22"/>
        </w:rPr>
        <w:t>(148H) as interpreted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661.1(5)</w:t>
      </w:r>
      <w:r>
        <w:rPr>
          <w:rFonts w:ascii="Times New Roman" w:hAnsi="Times New Roman"/>
          <w:b w:val="false"/>
          <w:i w:val="false"/>
          <w:color w:val="000000"/>
          <w:sz w:val="22"/>
        </w:rPr>
        <w:t> </w:t>
      </w:r>
      <w:r>
        <w:rPr>
          <w:rFonts w:ascii="Times New Roman" w:hAnsi="Times New Roman"/>
          <w:b w:val="false"/>
          <w:i w:val="false"/>
          <w:color w:val="000000"/>
          <w:sz w:val="22"/>
        </w:rPr>
        <w:t xml:space="preserve">Sexual misconduct. Engaging in sexual misconduct includes but is not limited to engaging in conduct set out at 481—subrule </w:t>
      </w:r>
      <w:hyperlink r:id="rId25">
        <w:r>
          <w:rPr>
            <w:rStyle w:val="Hyperlink"/>
            <w:rFonts w:ascii="Times New Roman" w:hAnsi="Times New Roman"/>
            <w:b w:val="false"/>
            <w:i w:val="false"/>
            <w:color w:val="000000"/>
            <w:sz w:val="22"/>
          </w:rPr>
          <w:t>655.7(4)</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655.7(6)</w:t>
        </w:r>
      </w:hyperlink>
      <w:r>
        <w:rPr>
          <w:rFonts w:ascii="Times New Roman" w:hAnsi="Times New Roman"/>
          <w:b w:val="false"/>
          <w:i w:val="false"/>
          <w:color w:val="000000"/>
          <w:sz w:val="22"/>
        </w:rPr>
        <w:t xml:space="preserve"> as interpreted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661.1(6)</w:t>
      </w:r>
      <w:r>
        <w:rPr>
          <w:rFonts w:ascii="Times New Roman" w:hAnsi="Times New Roman"/>
          <w:b w:val="false"/>
          <w:i w:val="false"/>
          <w:color w:val="000000"/>
          <w:sz w:val="22"/>
        </w:rPr>
        <w:t> </w:t>
      </w:r>
      <w:r>
        <w:rPr>
          <w:rFonts w:ascii="Times New Roman" w:hAnsi="Times New Roman"/>
          <w:b w:val="false"/>
          <w:i w:val="false"/>
          <w:color w:val="000000"/>
          <w:sz w:val="22"/>
        </w:rPr>
        <w:t>Substance abuse. Substance abuse includes but is not limited to excessive use of alcohol, drugs, narcotics, chemicals or other substances in a manner that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661.1(7)</w:t>
      </w:r>
      <w:r>
        <w:rPr>
          <w:rFonts w:ascii="Times New Roman" w:hAnsi="Times New Roman"/>
          <w:b w:val="false"/>
          <w:i w:val="false"/>
          <w:color w:val="000000"/>
          <w:sz w:val="22"/>
        </w:rPr>
        <w:t> </w:t>
      </w:r>
      <w:r>
        <w:rPr>
          <w:rFonts w:ascii="Times New Roman" w:hAnsi="Times New Roman"/>
          <w:b w:val="false"/>
          <w:i w:val="false"/>
          <w:color w:val="000000"/>
          <w:sz w:val="22"/>
        </w:rPr>
        <w:t>Indiscriminately or promiscuously prescribing, administering or dispensing any drug for other than lawful purpose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Self-prescribing or self-dispensing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Prescribing or dispensing controlled substances to members of the licensee’s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Prescribing or dispensing controlled substances to members of the licensee’s immediate family is allowable for an acute condition or on an emergency basis when the licensee conducts an examination, establishes a medical record, and maintains proper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 family includes the physician’s spouse or domestic partner and either of the physician’s, spouse’s, or domestic partner’s parents, stepparents or grandparents; the physician’s natural or adopted children or stepchildren and any child’s spouse, domestic partner or children; the siblings of the physician or the physician’s spouse or domestic partner and the sibling’s spouse or domestic partner; or anyone else living with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661.1(8)</w:t>
      </w:r>
      <w:r>
        <w:rPr>
          <w:rFonts w:ascii="Times New Roman" w:hAnsi="Times New Roman"/>
          <w:b w:val="false"/>
          <w:i w:val="false"/>
          <w:color w:val="000000"/>
          <w:sz w:val="22"/>
        </w:rPr>
        <w:t> </w:t>
      </w:r>
      <w:r>
        <w:rPr>
          <w:rFonts w:ascii="Times New Roman" w:hAnsi="Times New Roman"/>
          <w:b w:val="false"/>
          <w:i w:val="false"/>
          <w:color w:val="000000"/>
          <w:sz w:val="22"/>
        </w:rPr>
        <w:t>Physical or mental impairment. Physical or mental impairment includes but is not limited to any physical, neurological or mental condition that may impair a licensee’s ability to practice the profession with reasonable skill and safety. Being adjudged mentally incompetent by a court of competent jurisdiction automatically suspends a license for the duration of the license unless the board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661.1(9)</w:t>
      </w:r>
      <w:r>
        <w:rPr>
          <w:rFonts w:ascii="Times New Roman" w:hAnsi="Times New Roman"/>
          <w:b w:val="false"/>
          <w:i w:val="false"/>
          <w:color w:val="000000"/>
          <w:sz w:val="22"/>
        </w:rPr>
        <w:t> </w:t>
      </w:r>
      <w:r>
        <w:rPr>
          <w:rFonts w:ascii="Times New Roman" w:hAnsi="Times New Roman"/>
          <w:b w:val="false"/>
          <w:i w:val="false"/>
          <w:color w:val="000000"/>
          <w:sz w:val="22"/>
        </w:rPr>
        <w:t xml:space="preserve">Felony criminal conviction. Being convicted of a felony in the courts of this state, another state, the United States, or any country, territory or other jurisdiction, as defined in Iowa Code section </w:t>
      </w:r>
      <w:hyperlink r:id="rId27">
        <w:r>
          <w:rPr>
            <w:rStyle w:val="Hyperlink"/>
            <w:rFonts w:ascii="Times New Roman" w:hAnsi="Times New Roman"/>
            <w:b w:val="false"/>
            <w:i w:val="false"/>
            <w:color w:val="000000"/>
            <w:sz w:val="22"/>
          </w:rPr>
          <w:t>148.6(2)</w:t>
        </w:r>
      </w:hyperlink>
      <w:r>
        <w:rPr>
          <w:rFonts w:ascii="Times New Roman" w:hAnsi="Times New Roman"/>
          <w:b w:val="false"/>
          <w:i/>
          <w:color w:val="000000"/>
          <w:sz w:val="22"/>
        </w:rPr>
        <w:t>“b.”</w:t>
      </w:r>
      <w:r>
        <w:rPr>
          <w:rFonts w:ascii="Times New Roman" w:hAnsi="Times New Roman"/>
          <w:b w:val="false"/>
          <w:i w:val="false"/>
          <w:color w:val="000000"/>
          <w:sz w:val="22"/>
        </w:rPr>
        <w:t xml:space="preserve"> A copy of the record of conviction or plea of guilty or nolo contendere is conclusive evidence of the felony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laws or rules governing the practice of medicine, acupuncture or genetic counseling of this state; another state; the United States; or any country, territory or other jurisdiction. Violation of the laws or rules governing the practice of medicine, acupuncture or genetic counseling includes but is not limited to willful or repeated violation of the provisions of these rules or the provisions of Iowa Code chapter </w:t>
      </w:r>
      <w:hyperlink r:id="rId2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other state or federal laws or rules governing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661.1(11)</w:t>
      </w:r>
      <w:r>
        <w:rPr>
          <w:rFonts w:ascii="Times New Roman" w:hAnsi="Times New Roman"/>
          <w:b w:val="false"/>
          <w:i w:val="false"/>
          <w:color w:val="000000"/>
          <w:sz w:val="22"/>
        </w:rPr>
        <w:t> </w:t>
      </w:r>
      <w:r>
        <w:rPr>
          <w:rFonts w:ascii="Times New Roman" w:hAnsi="Times New Roman"/>
          <w:b w:val="false"/>
          <w:i w:val="false"/>
          <w:color w:val="000000"/>
          <w:sz w:val="22"/>
        </w:rPr>
        <w:t>Violation of a lawful order of the board, previously entered by the board in a disciplinary or licensure hearing, or violation of the terms and provisions of a consent agreement or settlement agreement entered into between a licensee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661.1(12)</w:t>
      </w:r>
      <w:r>
        <w:rPr>
          <w:rFonts w:ascii="Times New Roman" w:hAnsi="Times New Roman"/>
          <w:b w:val="false"/>
          <w:i w:val="false"/>
          <w:color w:val="000000"/>
          <w:sz w:val="22"/>
        </w:rPr>
        <w:t> </w:t>
      </w:r>
      <w:r>
        <w:rPr>
          <w:rFonts w:ascii="Times New Roman" w:hAnsi="Times New Roman"/>
          <w:b w:val="false"/>
          <w:i w:val="false"/>
          <w:color w:val="000000"/>
          <w:sz w:val="22"/>
        </w:rPr>
        <w:t>Violation of an initial agreement or health contract entered into with the Iowa professional health programs (IPHP).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 evaluation order. Failure to comply with an order of the board requiring a licensee to submit to evaluation under Iowa Code section </w:t>
      </w:r>
      <w:hyperlink r:id="rId33">
        <w:r>
          <w:rPr>
            <w:rStyle w:val="Hyperlink"/>
            <w:rFonts w:ascii="Times New Roman" w:hAnsi="Times New Roman"/>
            <w:b w:val="false"/>
            <w:i w:val="false"/>
            <w:color w:val="000000"/>
            <w:sz w:val="22"/>
          </w:rPr>
          <w:t>148.6(2)</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661.1(14)</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a profession. Knowingly making misleading, deceptive, untrue or fraudulent representations in the practice of a profession includes but is not limited to an intentional perversion of the truth, either orally or in writing, by a physician in the practice of medicine and surgery or osteopathic medicine and surgery, by an acupuncturist, or by a genetic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661.1(15)</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acupuncture, medicine and surgery, osteopathic medicine and surgery, or genetic counseling in this state and includes false representations of material fact, whether by word or by conduct, by false or misleading allegations, or by concealment of that which should have been disclosed when making application for a license in this state, or attempting to file or filing with the board any false or forged document submitted with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661.1(16)</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 Fraud in representations as to skill or ability includes but is not limited to a licensee’s having made misleading, deceptive or untrue representations as to the acupuncturist’s, physician’s or genetic counselor’s competency to perform professional services for which the licensee is not qualified to perform by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661.1(17)</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known to the public information or intention that is false, deceptive, misleading or promoted through fraud or misrepresentation and includes statements that may consist of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Inflated or unjustified claims that lead to expectations of favorable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Self-laudatory claims that imply that the licensee is skilled in a field or specialty of practice for which the licensee is not 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Representations that are likely to cause the average person to misunderstand;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Extravagant claims or claims of extraordinary skills not recognized by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661.1(18)</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661.1(19)</w:t>
      </w:r>
      <w:r>
        <w:rPr>
          <w:rFonts w:ascii="Times New Roman" w:hAnsi="Times New Roman"/>
          <w:b w:val="false"/>
          <w:i w:val="false"/>
          <w:color w:val="000000"/>
          <w:sz w:val="22"/>
        </w:rPr>
        <w:t> </w:t>
      </w:r>
      <w:r>
        <w:rPr>
          <w:rFonts w:ascii="Times New Roman" w:hAnsi="Times New Roman"/>
          <w:b w:val="false"/>
          <w:i w:val="false"/>
          <w:color w:val="000000"/>
          <w:sz w:val="22"/>
        </w:rPr>
        <w:t>Acceptance of remuneration for referral of a patient to other health professionals in violation of the law or medical ethics.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661.1(20)</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 failure to submit the required reports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661.1(21)</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or advising a person in the unlawful practice of acupuncture,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661.1(22)</w:t>
      </w:r>
      <w:r>
        <w:rPr>
          <w:rFonts w:ascii="Times New Roman" w:hAnsi="Times New Roman"/>
          <w:b w:val="false"/>
          <w:i w:val="false"/>
          <w:color w:val="000000"/>
          <w:sz w:val="22"/>
        </w:rPr>
        <w:t> </w:t>
      </w:r>
      <w:r>
        <w:rPr>
          <w:rFonts w:ascii="Times New Roman" w:hAnsi="Times New Roman"/>
          <w:b w:val="false"/>
          <w:i w:val="false"/>
          <w:color w:val="000000"/>
          <w:sz w:val="22"/>
        </w:rPr>
        <w:t>Failure to report disciplinary action. Failure to report a license revocation, suspension or other disciplinary action taken against the licensee by a professional licensing authority of another state; an agency of the United States government; or any country, territory or other jurisdiction within 30 days of the final action by such licensing authority. A stay by an appellate court does not negate this requirement; however, if such disciplinary action is overturned or reversed by a court of last resort, such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661.1(23)</w:t>
      </w:r>
      <w:r>
        <w:rPr>
          <w:rFonts w:ascii="Times New Roman" w:hAnsi="Times New Roman"/>
          <w:b w:val="false"/>
          <w:i w:val="false"/>
          <w:color w:val="000000"/>
          <w:sz w:val="22"/>
        </w:rPr>
        <w:t> </w:t>
      </w:r>
      <w:r>
        <w:rPr>
          <w:rFonts w:ascii="Times New Roman" w:hAnsi="Times New Roman"/>
          <w:b w:val="false"/>
          <w:i w:val="false"/>
          <w:color w:val="000000"/>
          <w:sz w:val="22"/>
        </w:rPr>
        <w:t>Failure to report voluntary agreements. Failure to report any voluntary agreement to restrict the practice of acupuncture, medicine and surgery, osteopathic medicine and surgery, or genetic counseling entered into with this state; another state; the United States; an agency of the federal government; or any country, territory or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661.1(24)</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settlement or adverse judgment of a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the reports required by rule </w:t>
      </w:r>
      <w:hyperlink r:id="rId35">
        <w:r>
          <w:rPr>
            <w:rStyle w:val="Hyperlink"/>
            <w:rFonts w:ascii="Times New Roman" w:hAnsi="Times New Roman"/>
            <w:b w:val="false"/>
            <w:i w:val="false"/>
            <w:color w:val="000000"/>
            <w:sz w:val="22"/>
          </w:rPr>
          <w:t>481—660.2</w:t>
        </w:r>
      </w:hyperlink>
      <w:r>
        <w:rPr>
          <w:rFonts w:ascii="Times New Roman" w:hAnsi="Times New Roman"/>
          <w:b w:val="false"/>
          <w:i w:val="false"/>
          <w:color w:val="000000"/>
          <w:sz w:val="22"/>
        </w:rPr>
        <w:t>(272C) within 30 days concerning wrongful acts or omissions committed by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 valid subpoena issued by the board pursuant to Iowa Code sections </w:t>
      </w:r>
      <w:hyperlink r:id="rId36">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481—subrule 662.2(6)</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661.1(27)</w:t>
      </w:r>
      <w:r>
        <w:rPr>
          <w:rFonts w:ascii="Times New Roman" w:hAnsi="Times New Roman"/>
          <w:b w:val="false"/>
          <w:i w:val="false"/>
          <w:color w:val="000000"/>
          <w:sz w:val="22"/>
        </w:rPr>
        <w:t> </w:t>
      </w:r>
      <w:r>
        <w:rPr>
          <w:rFonts w:ascii="Times New Roman" w:hAnsi="Times New Roman"/>
          <w:b w:val="false"/>
          <w:i w:val="false"/>
          <w:color w:val="000000"/>
          <w:sz w:val="22"/>
        </w:rPr>
        <w:t>Failure to submit to a board-ordered mental, physical, clinical competency, or substance abuse evaluation or drug or alcohol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661.1(28)</w:t>
      </w:r>
      <w:r>
        <w:rPr>
          <w:rFonts w:ascii="Times New Roman" w:hAnsi="Times New Roman"/>
          <w:b w:val="false"/>
          <w:i w:val="false"/>
          <w:color w:val="000000"/>
          <w:sz w:val="22"/>
        </w:rPr>
        <w:t> </w:t>
      </w:r>
      <w:r>
        <w:rPr>
          <w:rFonts w:ascii="Times New Roman" w:hAnsi="Times New Roman"/>
          <w:b w:val="false"/>
          <w:i w:val="false"/>
          <w:color w:val="000000"/>
          <w:sz w:val="22"/>
        </w:rPr>
        <w:t>The inappropriate use of a rubber stamp to affix a signature to a prescription. A person who is unable, due to a disability, to make a written signature or mark, however, may substitute in lieu of a signature a rubber stamp that is adopted by the disabled person for all purposes requiring a signature and that is affixed by the disabled person or affixed by another person upon the request of the disabled person and in the presence of the disabled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661.1(29)</w:t>
      </w:r>
      <w:r>
        <w:rPr>
          <w:rFonts w:ascii="Times New Roman" w:hAnsi="Times New Roman"/>
          <w:b w:val="false"/>
          <w:i w:val="false"/>
          <w:color w:val="000000"/>
          <w:sz w:val="22"/>
        </w:rPr>
        <w:t> </w:t>
      </w:r>
      <w:r>
        <w:rPr>
          <w:rFonts w:ascii="Times New Roman" w:hAnsi="Times New Roman"/>
          <w:b w:val="false"/>
          <w:i w:val="false"/>
          <w:color w:val="000000"/>
          <w:sz w:val="22"/>
        </w:rPr>
        <w:t>Maintaining any presigned prescription that is intended to be completed and issued at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661.1(30)</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recommendations issued by the Centers for Disease Control and Prevention of the United States Department of Health and Human Services for preventing transmission of human immunodeficiency virus and hepatitis B virus to patients during exposure-prone invasive procedures, or with the protocols established pursuant to Iowa Code chapter </w:t>
      </w:r>
      <w:hyperlink r:id="rId4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with HIV or HBV who practices in a hospital setting, and who performs exposure-prone procedures, to report the physician’s HIV or HBV status to an expert review panel established by a hospital under Iowa Code section </w:t>
      </w:r>
      <w:hyperlink r:id="rId41">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xml:space="preserve"> or to an expert review panel established by the department of health and human services under Iowa Code section </w:t>
      </w:r>
      <w:hyperlink r:id="rId42">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with HIV or HBV who practices outside a hospital setting, and who performs exposure-prone procedures, to report the physician’s HIV or HBV status to an expert review panel established by the department of health and human services under Iowa Code section </w:t>
      </w:r>
      <w:hyperlink r:id="rId43">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subject to the reporting requirements of subrules </w:t>
      </w:r>
      <w:hyperlink r:id="rId44">
        <w:r>
          <w:rPr>
            <w:rStyle w:val="Hyperlink"/>
            <w:rFonts w:ascii="Times New Roman" w:hAnsi="Times New Roman"/>
            <w:b w:val="false"/>
            <w:i w:val="false"/>
            <w:color w:val="000000"/>
            <w:sz w:val="22"/>
          </w:rPr>
          <w:t>661.1(31)</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661.1(32)</w:t>
        </w:r>
      </w:hyperlink>
      <w:r>
        <w:rPr>
          <w:rFonts w:ascii="Times New Roman" w:hAnsi="Times New Roman"/>
          <w:b w:val="false"/>
          <w:i w:val="false"/>
          <w:color w:val="000000"/>
          <w:sz w:val="22"/>
        </w:rPr>
        <w:t xml:space="preserve"> to comply with the recommendations of an expert review panel established by the department of health and human services pursuant to Iowa Code section </w:t>
      </w:r>
      <w:hyperlink r:id="rId46">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 xml:space="preserve">, with hospital protocols established pursuant to Iowa Code section </w:t>
      </w:r>
      <w:hyperlink r:id="rId47">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xml:space="preserve">, or with health care facility procedures established pursuant to Iowa Code section </w:t>
      </w:r>
      <w:hyperlink r:id="rId48">
        <w:r>
          <w:rPr>
            <w:rStyle w:val="Hyperlink"/>
            <w:rFonts w:ascii="Times New Roman" w:hAnsi="Times New Roman"/>
            <w:b w:val="false"/>
            <w:i w:val="false"/>
            <w:color w:val="000000"/>
            <w:sz w:val="22"/>
          </w:rPr>
          <w:t>139A.22(2)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661.1(34)</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a support order or with a written agreement for payment of support as evidenced by a certificate of noncompliance issued pursuant to Iowa Code chapter </w:t>
      </w:r>
      <w:hyperlink r:id="rId4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Disciplinary proceedings initiated under this rule shall follow the procedures set forth in Iowa Code chapter </w:t>
      </w:r>
      <w:hyperlink r:id="rId5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661.1(35)</w:t>
      </w:r>
      <w:r>
        <w:rPr>
          <w:rFonts w:ascii="Times New Roman" w:hAnsi="Times New Roman"/>
          <w:b w:val="false"/>
          <w:i w:val="false"/>
          <w:color w:val="000000"/>
          <w:sz w:val="22"/>
        </w:rPr>
        <w:t> </w:t>
      </w:r>
      <w:r>
        <w:rPr>
          <w:rFonts w:ascii="Times New Roman" w:hAnsi="Times New Roman"/>
          <w:b w:val="false"/>
          <w:i w:val="false"/>
          <w:color w:val="000000"/>
          <w:sz w:val="22"/>
        </w:rPr>
        <w:t>Fraud in the practice. Fraud in the practice includes but is not limited to any misleading, deceptive, untrue or fraudulent representation in the practice of acupuncture, medicine or surgery, or genetic counseling, made orally or in writing, that is contrary to the licensee’s legal or equitable duty, trust, or confidence and is deemed by the board to be contrary to good conscience, prejudicial to the public welfare, and potentially injurious to another.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661.1(36)</w:t>
      </w:r>
      <w:r>
        <w:rPr>
          <w:rFonts w:ascii="Times New Roman" w:hAnsi="Times New Roman"/>
          <w:b w:val="false"/>
          <w:i w:val="false"/>
          <w:color w:val="000000"/>
          <w:sz w:val="22"/>
        </w:rPr>
        <w:t> </w:t>
      </w:r>
      <w:r>
        <w:rPr>
          <w:rFonts w:ascii="Times New Roman" w:hAnsi="Times New Roman"/>
          <w:b w:val="false"/>
          <w:i w:val="false"/>
          <w:color w:val="000000"/>
          <w:sz w:val="22"/>
        </w:rPr>
        <w:t>Improper management of medical records. Improper management of medical records includes but is not limited to failure to maintain timely, accurate, and complete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661.1(37)</w:t>
      </w:r>
      <w:r>
        <w:rPr>
          <w:rFonts w:ascii="Times New Roman" w:hAnsi="Times New Roman"/>
          <w:b w:val="false"/>
          <w:i w:val="false"/>
          <w:color w:val="000000"/>
          <w:sz w:val="22"/>
        </w:rPr>
        <w:t> </w:t>
      </w:r>
      <w:r>
        <w:rPr>
          <w:rFonts w:ascii="Times New Roman" w:hAnsi="Times New Roman"/>
          <w:b w:val="false"/>
          <w:i w:val="false"/>
          <w:color w:val="000000"/>
          <w:sz w:val="22"/>
        </w:rPr>
        <w:t>Failure to transfer medical records to another physician in a timely fashion when legally requested to do so by the subject patient or by a legally designated representative of the subject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respond to or comply with a board investigation initiated pursuant to Iowa Code section </w:t>
      </w:r>
      <w:hyperlink r:id="rId52">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rule </w:t>
      </w:r>
      <w:hyperlink r:id="rId53">
        <w:r>
          <w:rPr>
            <w:rStyle w:val="Hyperlink"/>
            <w:rFonts w:ascii="Times New Roman" w:hAnsi="Times New Roman"/>
            <w:b w:val="false"/>
            <w:i w:val="false"/>
            <w:color w:val="000000"/>
            <w:sz w:val="22"/>
          </w:rPr>
          <w:t>481—662.2</w:t>
        </w:r>
      </w:hyperlink>
      <w:r>
        <w:rPr>
          <w:rFonts w:ascii="Times New Roman" w:hAnsi="Times New Roman"/>
          <w:b w:val="false"/>
          <w:i w:val="false"/>
          <w:color w:val="000000"/>
          <w:sz w:val="22"/>
        </w:rPr>
        <w:t>(17A,147,148,272C).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661.1(39)</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direct billing requirements for anatomic pathology services established in Iowa Code section </w:t>
      </w:r>
      <w:hyperlink r:id="rId54">
        <w:r>
          <w:rPr>
            <w:rStyle w:val="Hyperlink"/>
            <w:rFonts w:ascii="Times New Roman" w:hAnsi="Times New Roman"/>
            <w:b w:val="false"/>
            <w:i w:val="false"/>
            <w:color w:val="000000"/>
            <w:sz w:val="22"/>
          </w:rPr>
          <w:t>147.106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661.1(40)</w:t>
      </w:r>
      <w:r>
        <w:rPr>
          <w:rFonts w:ascii="Times New Roman" w:hAnsi="Times New Roman"/>
          <w:b w:val="false"/>
          <w:i w:val="false"/>
          <w:color w:val="000000"/>
          <w:sz w:val="22"/>
        </w:rPr>
        <w:t> </w:t>
      </w:r>
      <w:r>
        <w:rPr>
          <w:rFonts w:ascii="Times New Roman" w:hAnsi="Times New Roman"/>
          <w:b w:val="false"/>
          <w:i w:val="false"/>
          <w:color w:val="000000"/>
          <w:sz w:val="22"/>
        </w:rPr>
        <w:t>Failure to submit an additional completed fingerprint card and applicable fee, within 30 days of a request made by board staff, when a previous fingerprint submission has been determined to be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661.1(41)</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continuing education materials during a board audit, within 30 days of a request made by board staff or within the extension of time if one had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661.1(42)</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requested mandatory training for identifying and reporting abuse materials during a board audit, within 30 days of a request made by board staff or within the extension of time if one had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661.1(43)</w:t>
      </w:r>
      <w:r>
        <w:rPr>
          <w:rFonts w:ascii="Times New Roman" w:hAnsi="Times New Roman"/>
          <w:b w:val="false"/>
          <w:i w:val="false"/>
          <w:color w:val="000000"/>
          <w:sz w:val="22"/>
        </w:rPr>
        <w:t> </w:t>
      </w:r>
      <w:r>
        <w:rPr>
          <w:rFonts w:ascii="Times New Roman" w:hAnsi="Times New Roman"/>
          <w:b w:val="false"/>
          <w:i w:val="false"/>
          <w:color w:val="000000"/>
          <w:sz w:val="22"/>
        </w:rPr>
        <w:t xml:space="preserve">Nonpayment of state debt as evidenced by a certificate of noncompliance issued pursuant to Iowa Code chapter </w:t>
      </w:r>
      <w:hyperlink r:id="rId5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661.1(44)</w:t>
      </w:r>
      <w:r>
        <w:rPr>
          <w:rFonts w:ascii="Times New Roman" w:hAnsi="Times New Roman"/>
          <w:b w:val="false"/>
          <w:i w:val="false"/>
          <w:color w:val="000000"/>
          <w:sz w:val="22"/>
        </w:rPr>
        <w:t> </w:t>
      </w:r>
      <w:r>
        <w:rPr>
          <w:rFonts w:ascii="Times New Roman" w:hAnsi="Times New Roman"/>
          <w:b w:val="false"/>
          <w:i w:val="false"/>
          <w:color w:val="000000"/>
          <w:sz w:val="22"/>
        </w:rPr>
        <w:t>Voluntary agreements. The board may take disciplinary action against a physician if that physician has entered into a voluntary agreement to restrict the practice of medicine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use the following criteria to determine if a physician has entered into a voluntary agreement within the meaning of Iowa Code section </w:t>
      </w:r>
      <w:hyperlink r:id="rId57">
        <w:r>
          <w:rPr>
            <w:rStyle w:val="Hyperlink"/>
            <w:rFonts w:ascii="Times New Roman" w:hAnsi="Times New Roman"/>
            <w:b w:val="false"/>
            <w:i w:val="false"/>
            <w:color w:val="000000"/>
            <w:sz w:val="22"/>
          </w:rPr>
          <w:t>148.12</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voluntary agreement was signed during or at the conclusion of a disciplinary investigation, or to prevent a matter from proceeding to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includes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 or testing that is beyond the jurisdiction’s usual requirement for a license 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assignment beyond what is required for license renewal or regular practice (e.g., adoption of a protocol, use of a chaperone, completion of specified continuing education, or completion of a writing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prohibition or limitation on practice privileges (e.g., a restriction on prescribing or administering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Compliance with an educational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requirement that surveys or reviews of patients or patient records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practice monitoring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special notification requirement for a change of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 that is not routinely required of all physicians in that jurisdiction, such as a civil penalty, fine, or reimbursement of any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activity or requirements imposed by the board that are beyond the usual licensure requirements for obtaining, renewing, or reinstating a license in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voluntary agreement shall be considered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661.1(45)</w:t>
      </w:r>
      <w:r>
        <w:rPr>
          <w:rFonts w:ascii="Times New Roman" w:hAnsi="Times New Roman"/>
          <w:b w:val="false"/>
          <w:i w:val="false"/>
          <w:color w:val="000000"/>
          <w:sz w:val="22"/>
        </w:rPr>
        <w:t> </w:t>
      </w:r>
      <w:r>
        <w:rPr>
          <w:rFonts w:ascii="Times New Roman" w:hAnsi="Times New Roman"/>
          <w:b w:val="false"/>
          <w:i w:val="false"/>
          <w:color w:val="000000"/>
          <w:sz w:val="22"/>
        </w:rPr>
        <w:t>Performing or attempting to perform any surgical or invasive procedure on the wrong patient or at the wrong anatomical site or performing the wrong surgical procedure on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661.1(46)</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standards of practice for medical directors who delegate and supervise medical aesthetic services performed by nonphysician persons at a medical spa as set out in rule </w:t>
      </w:r>
      <w:hyperlink r:id="rId58">
        <w:r>
          <w:rPr>
            <w:rStyle w:val="Hyperlink"/>
            <w:rFonts w:ascii="Times New Roman" w:hAnsi="Times New Roman"/>
            <w:b w:val="false"/>
            <w:i w:val="false"/>
            <w:color w:val="000000"/>
            <w:sz w:val="22"/>
          </w:rPr>
          <w:t>481—655.8</w:t>
        </w:r>
      </w:hyperlink>
      <w:r>
        <w:rPr>
          <w:rFonts w:ascii="Times New Roman" w:hAnsi="Times New Roman"/>
          <w:b w:val="false"/>
          <w:i w:val="false"/>
          <w:color w:val="000000"/>
          <w:sz w:val="22"/>
        </w:rPr>
        <w:t>(148,272C).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the board, within 14 days of a request by the board as set out in </w:t>
      </w:r>
      <w:hyperlink r:id="rId59">
        <w:r>
          <w:rPr>
            <w:rStyle w:val="Hyperlink"/>
            <w:rFonts w:ascii="Times New Roman" w:hAnsi="Times New Roman"/>
            <w:b w:val="false"/>
            <w:i w:val="false"/>
            <w:color w:val="000000"/>
            <w:sz w:val="22"/>
          </w:rPr>
          <w:t>481—paragraph 655.8(5)</w:t>
        </w:r>
      </w:hyperlink>
      <w:r>
        <w:rPr>
          <w:rFonts w:ascii="Times New Roman" w:hAnsi="Times New Roman"/>
          <w:b w:val="false"/>
          <w:i/>
          <w:color w:val="000000"/>
          <w:sz w:val="22"/>
        </w:rPr>
        <w:t>“l,”</w:t>
      </w:r>
      <w:r>
        <w:rPr>
          <w:rFonts w:ascii="Times New Roman" w:hAnsi="Times New Roman"/>
          <w:b w:val="false"/>
          <w:i w:val="false"/>
          <w:color w:val="000000"/>
          <w:sz w:val="22"/>
        </w:rPr>
        <w:t xml:space="preserve"> written verification of the education and training of all nonphysician persons who perform medical aesthetic services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with the board a written report and a copy of the hospital disciplinary action within 30 days of any hospital disciplinary action or the licensee’s voluntary action to avoid a hospital investigation or hospital disciplinary action as required by rule </w:t>
      </w:r>
      <w:hyperlink r:id="rId60">
        <w:r>
          <w:rPr>
            <w:rStyle w:val="Hyperlink"/>
            <w:rFonts w:ascii="Times New Roman" w:hAnsi="Times New Roman"/>
            <w:b w:val="false"/>
            <w:i w:val="false"/>
            <w:color w:val="000000"/>
            <w:sz w:val="22"/>
          </w:rPr>
          <w:t>481—660.5</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661.1(49)</w:t>
      </w:r>
      <w:r>
        <w:rPr>
          <w:rFonts w:ascii="Times New Roman" w:hAnsi="Times New Roman"/>
          <w:b w:val="false"/>
          <w:i w:val="false"/>
          <w:color w:val="000000"/>
          <w:sz w:val="22"/>
        </w:rPr>
        <w:t> </w:t>
      </w:r>
      <w:r>
        <w:rPr>
          <w:rFonts w:ascii="Times New Roman" w:hAnsi="Times New Roman"/>
          <w:b w:val="false"/>
          <w:i w:val="false"/>
          <w:color w:val="000000"/>
          <w:sz w:val="22"/>
        </w:rPr>
        <w:t>Unethical conduct of acupuncturist. The Code of Ethics (2016) prepared and approved by the National Certification Commission for Acupuncture and Oriental Medicine (NCCAOM) is utilized by the board as guiding principles in the practice of acupuncture in this state. Unethical conduct in the practice of acupuncture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provide patients with the information required in Iowa Code section </w:t>
      </w:r>
      <w:hyperlink r:id="rId61">
        <w:r>
          <w:rPr>
            <w:rStyle w:val="Hyperlink"/>
            <w:rFonts w:ascii="Times New Roman" w:hAnsi="Times New Roman"/>
            <w:b w:val="false"/>
            <w:i w:val="false"/>
            <w:color w:val="000000"/>
            <w:sz w:val="22"/>
          </w:rPr>
          <w:t>148E.6</w:t>
        </w:r>
      </w:hyperlink>
      <w:r>
        <w:rPr>
          <w:rFonts w:ascii="Times New Roman" w:hAnsi="Times New Roman"/>
          <w:b w:val="false"/>
          <w:i w:val="false"/>
          <w:color w:val="000000"/>
          <w:sz w:val="22"/>
        </w:rPr>
        <w:t xml:space="preserve"> or providing false information to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Disclosing confidential information about a patient without proper authorization;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Abrogating the boundaries of acceptable conduct in the practice of acupuncture established by the profession that the board deems appropriate for ensuring that acupuncturists provide Iowans with safe and healthful care.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2/8/07, Notice 1/3/07—published 2/28/07, effective 4/4/07]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8525B</w:t>
      </w:r>
      <w:r>
        <w:rPr>
          <w:rFonts w:ascii="Times New Roman" w:hAnsi="Times New Roman"/>
          <w:b w:val="false"/>
          <w:i w:val="false"/>
          <w:color w:val="000000"/>
          <w:sz w:val="21"/>
        </w:rPr>
        <w:t xml:space="preserve"> (Notice ARC 8198B, IAB 10/7/09)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9088B</w:t>
      </w:r>
      <w:r>
        <w:rPr>
          <w:rFonts w:ascii="Times New Roman" w:hAnsi="Times New Roman"/>
          <w:b w:val="false"/>
          <w:i w:val="false"/>
          <w:color w:val="000000"/>
          <w:sz w:val="21"/>
        </w:rPr>
        <w:t xml:space="preserve"> (Notice ARC 8925B, IAB 6/30/10)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9598B</w:t>
      </w:r>
      <w:r>
        <w:rPr>
          <w:rFonts w:ascii="Times New Roman" w:hAnsi="Times New Roman"/>
          <w:b w:val="false"/>
          <w:i w:val="false"/>
          <w:color w:val="000000"/>
          <w:sz w:val="21"/>
        </w:rPr>
        <w:t xml:space="preserve"> (Notice ARC 9415B,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0533C</w:t>
      </w:r>
      <w:r>
        <w:rPr>
          <w:rFonts w:ascii="Times New Roman" w:hAnsi="Times New Roman"/>
          <w:b w:val="false"/>
          <w:i w:val="false"/>
          <w:color w:val="000000"/>
          <w:sz w:val="21"/>
        </w:rPr>
        <w:t xml:space="preserve"> (Notice ARC 0177C, IAB 6/27/12)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9120C</w:t>
      </w:r>
      <w:r>
        <w:rPr>
          <w:rFonts w:ascii="Times New Roman" w:hAnsi="Times New Roman"/>
          <w:b w:val="false"/>
          <w:i w:val="false"/>
          <w:color w:val="000000"/>
          <w:sz w:val="21"/>
        </w:rPr>
        <w:t xml:space="preserve"> (Notice ARC 8705C,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footerReference r:id="rId6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48E.pdf" Type="http://schemas.openxmlformats.org/officeDocument/2006/relationships/hyperlink" Id="rId7"/>
    <Relationship TargetMode="External" Target="https://www.legis.iowa.gov/docs/ico/chapter/148H.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272D.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co/chapter/147.55.pdf" Type="http://schemas.openxmlformats.org/officeDocument/2006/relationships/hyperlink" Id="rId13"/>
    <Relationship TargetMode="External" Target="https://www.legis.iowa.gov/docs/ico/chapter/148.6.pdf" Type="http://schemas.openxmlformats.org/officeDocument/2006/relationships/hyperlink" Id="rId14"/>
    <Relationship TargetMode="External" Target="https://www.legis.iowa.gov/docs/ico/chapter/148E.8.pdf" Type="http://schemas.openxmlformats.org/officeDocument/2006/relationships/hyperlink" Id="rId15"/>
    <Relationship TargetMode="External" Target="https://www.legis.iowa.gov/docs/ico/chapter/148H.7.pdf" Type="http://schemas.openxmlformats.org/officeDocument/2006/relationships/hyperlink" Id="rId16"/>
    <Relationship TargetMode="External" Target="https://www.legis.iowa.gov/docs/ico/chapter/272C.10.pdf" Type="http://schemas.openxmlformats.org/officeDocument/2006/relationships/hyperlink" Id="rId17"/>
    <Relationship TargetMode="External" Target="https://www.legis.iowa.gov/docs/ico/chapter/272C.15.pdf" Type="http://schemas.openxmlformats.org/officeDocument/2006/relationships/hyperlink" Id="rId18"/>
    <Relationship TargetMode="External" Target="https://www.legis.iowa.gov/docs/ico/chapter/148E.pdf" Type="http://schemas.openxmlformats.org/officeDocument/2006/relationships/hyperlink" Id="rId19"/>
    <Relationship TargetMode="External" Target="https://www.legis.iowa.gov/docs/iac/chapter/481.656.pdf" Type="http://schemas.openxmlformats.org/officeDocument/2006/relationships/hyperlink" Id="rId20"/>
    <Relationship TargetMode="External" Target="https://www.legis.iowa.gov/docs/iac/rule/481.655.7.pdf" Type="http://schemas.openxmlformats.org/officeDocument/2006/relationships/hyperlink" Id="rId21"/>
    <Relationship TargetMode="External" Target="https://www.legis.iowa.gov/docs/iac/rule/481.655.20.pdf" Type="http://schemas.openxmlformats.org/officeDocument/2006/relationships/hyperlink" Id="rId22"/>
    <Relationship TargetMode="External" Target="https://www.legis.iowa.gov/docs/iac/rule/481.656.10.pdf" Type="http://schemas.openxmlformats.org/officeDocument/2006/relationships/hyperlink" Id="rId23"/>
    <Relationship TargetMode="External" Target="https://www.legis.iowa.gov/docs/iac/rule/481.658.4.pdf" Type="http://schemas.openxmlformats.org/officeDocument/2006/relationships/hyperlink" Id="rId24"/>
    <Relationship TargetMode="External" Target="https://www.legis.iowa.gov/docs/iac/rule/481.655.7.pdf" Type="http://schemas.openxmlformats.org/officeDocument/2006/relationships/hyperlink" Id="rId25"/>
    <Relationship TargetMode="External" Target="https://www.legis.iowa.gov/docs/iac/rule/481.655.7.pdf" Type="http://schemas.openxmlformats.org/officeDocument/2006/relationships/hyperlink" Id="rId26"/>
    <Relationship TargetMode="External" Target="https://www.legis.iowa.gov/docs/ico/chapter/148.6.pdf" Type="http://schemas.openxmlformats.org/officeDocument/2006/relationships/hyperlink" Id="rId27"/>
    <Relationship TargetMode="External" Target="https://www.legis.iowa.gov/docs/ico/chapter/147.pdf" Type="http://schemas.openxmlformats.org/officeDocument/2006/relationships/hyperlink" Id="rId28"/>
    <Relationship TargetMode="External" Target="https://www.legis.iowa.gov/docs/ico/chapter/148.pdf" Type="http://schemas.openxmlformats.org/officeDocument/2006/relationships/hyperlink" Id="rId29"/>
    <Relationship TargetMode="External" Target="https://www.legis.iowa.gov/docs/ico/chapter/148E.pdf" Type="http://schemas.openxmlformats.org/officeDocument/2006/relationships/hyperlink" Id="rId30"/>
    <Relationship TargetMode="External" Target="https://www.legis.iowa.gov/docs/ico/chapter/148H.pdf" Type="http://schemas.openxmlformats.org/officeDocument/2006/relationships/hyperlink" Id="rId31"/>
    <Relationship TargetMode="External" Target="https://www.legis.iowa.gov/docs/ico/chapter/272C.pdf" Type="http://schemas.openxmlformats.org/officeDocument/2006/relationships/hyperlink" Id="rId32"/>
    <Relationship TargetMode="External" Target="https://www.legis.iowa.gov/docs/ico/chapter/148.6.pdf" Type="http://schemas.openxmlformats.org/officeDocument/2006/relationships/hyperlink" Id="rId33"/>
    <Relationship TargetMode="External" Target="https://www.legis.iowa.gov/docs/ico/chapter/272C.9.pdf" Type="http://schemas.openxmlformats.org/officeDocument/2006/relationships/hyperlink" Id="rId34"/>
    <Relationship TargetMode="External" Target="https://www.legis.iowa.gov/docs/iac/rule/481.660.2.pdf" Type="http://schemas.openxmlformats.org/officeDocument/2006/relationships/hyperlink" Id="rId35"/>
    <Relationship TargetMode="External" Target="https://www.legis.iowa.gov/docs/ico/chapter/17A.13.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ac/rule/481.662.2.pdf" Type="http://schemas.openxmlformats.org/officeDocument/2006/relationships/hyperlink" Id="rId38"/>
    <Relationship TargetMode="External" Target="https://www.legis.iowa.gov/docs/iac/chapter/481.506.pdf" Type="http://schemas.openxmlformats.org/officeDocument/2006/relationships/hyperlink" Id="rId39"/>
    <Relationship TargetMode="External" Target="https://www.legis.iowa.gov/docs/ico/chapter/139A.pdf" Type="http://schemas.openxmlformats.org/officeDocument/2006/relationships/hyperlink" Id="rId40"/>
    <Relationship TargetMode="External" Target="https://www.legis.iowa.gov/docs/ico/chapter/139A.22.pdf" Type="http://schemas.openxmlformats.org/officeDocument/2006/relationships/hyperlink" Id="rId41"/>
    <Relationship TargetMode="External" Target="https://www.legis.iowa.gov/docs/ico/chapter/139A.22.pdf" Type="http://schemas.openxmlformats.org/officeDocument/2006/relationships/hyperlink" Id="rId42"/>
    <Relationship TargetMode="External" Target="https://www.legis.iowa.gov/docs/ico/chapter/139A.22.pdf" Type="http://schemas.openxmlformats.org/officeDocument/2006/relationships/hyperlink" Id="rId43"/>
    <Relationship TargetMode="External" Target="https://www.legis.iowa.gov/docs/iac/rule/653.661.1.pdf" Type="http://schemas.openxmlformats.org/officeDocument/2006/relationships/hyperlink" Id="rId44"/>
    <Relationship TargetMode="External" Target="https://www.legis.iowa.gov/docs/iac/rule/653.661.1.pdf" Type="http://schemas.openxmlformats.org/officeDocument/2006/relationships/hyperlink" Id="rId45"/>
    <Relationship TargetMode="External" Target="https://www.legis.iowa.gov/docs/ico/chapter/139A.22.pdf" Type="http://schemas.openxmlformats.org/officeDocument/2006/relationships/hyperlink" Id="rId46"/>
    <Relationship TargetMode="External" Target="https://www.legis.iowa.gov/docs/ico/chapter/139A.22.pdf" Type="http://schemas.openxmlformats.org/officeDocument/2006/relationships/hyperlink" Id="rId47"/>
    <Relationship TargetMode="External" Target="https://www.legis.iowa.gov/docs/ico/chapter/139A.22.pdf" Type="http://schemas.openxmlformats.org/officeDocument/2006/relationships/hyperlink" Id="rId48"/>
    <Relationship TargetMode="External" Target="https://www.legis.iowa.gov/docs/ico/chapter/252J.pdf" Type="http://schemas.openxmlformats.org/officeDocument/2006/relationships/hyperlink" Id="rId49"/>
    <Relationship TargetMode="External" Target="https://www.legis.iowa.gov/docs/ico/chapter/252J.pdf" Type="http://schemas.openxmlformats.org/officeDocument/2006/relationships/hyperlink" Id="rId50"/>
    <Relationship TargetMode="External" Target="https://www.legis.iowa.gov/docs/iac/chapter/481.8.pdf" Type="http://schemas.openxmlformats.org/officeDocument/2006/relationships/hyperlink" Id="rId51"/>
    <Relationship TargetMode="External" Target="https://www.legis.iowa.gov/docs/ico/chapter/272C.3.pdf" Type="http://schemas.openxmlformats.org/officeDocument/2006/relationships/hyperlink" Id="rId52"/>
    <Relationship TargetMode="External" Target="https://www.legis.iowa.gov/docs/iac/rule/481.662.2.pdf" Type="http://schemas.openxmlformats.org/officeDocument/2006/relationships/hyperlink" Id="rId53"/>
    <Relationship TargetMode="External" Target="https://www.legis.iowa.gov/docs/ico/chapter/147.106.pdf" Type="http://schemas.openxmlformats.org/officeDocument/2006/relationships/hyperlink" Id="rId54"/>
    <Relationship TargetMode="External" Target="https://www.legis.iowa.gov/docs/ico/chapter/272D.pdf" Type="http://schemas.openxmlformats.org/officeDocument/2006/relationships/hyperlink" Id="rId55"/>
    <Relationship TargetMode="External" Target="https://www.legis.iowa.gov/docs/iac/chapter/481.8.pdf" Type="http://schemas.openxmlformats.org/officeDocument/2006/relationships/hyperlink" Id="rId56"/>
    <Relationship TargetMode="External" Target="https://www.legis.iowa.gov/docs/ico/chapter/148.12.pdf" Type="http://schemas.openxmlformats.org/officeDocument/2006/relationships/hyperlink" Id="rId57"/>
    <Relationship TargetMode="External" Target="https://www.legis.iowa.gov/docs/iac/rule/481.655.8.pdf" Type="http://schemas.openxmlformats.org/officeDocument/2006/relationships/hyperlink" Id="rId58"/>
    <Relationship TargetMode="External" Target="https://www.legis.iowa.gov/docs/iac/rule/481.655.8.pdf" Type="http://schemas.openxmlformats.org/officeDocument/2006/relationships/hyperlink" Id="rId59"/>
    <Relationship TargetMode="External" Target="https://www.legis.iowa.gov/docs/iac/rule/481.660.5.pdf" Type="http://schemas.openxmlformats.org/officeDocument/2006/relationships/hyperlink" Id="rId60"/>
    <Relationship TargetMode="External" Target="https://www.legis.iowa.gov/docs/ico/chapter/148E.6.pdf" Type="http://schemas.openxmlformats.org/officeDocument/2006/relationships/hyperlink" Id="rId61"/>
    <Relationship TargetMode="External" Target="https://www.legis.iowa.gov/docs/ico/chapter/17A.pdf" Type="http://schemas.openxmlformats.org/officeDocument/2006/relationships/hyperlink" Id="rId62"/>
    <Relationship TargetMode="External" Target="https://www.legis.iowa.gov/docs/ico/chapter/147.pdf" Type="http://schemas.openxmlformats.org/officeDocument/2006/relationships/hyperlink" Id="rId63"/>
    <Relationship TargetMode="External" Target="https://www.legis.iowa.gov/docs/ico/chapter/148.pdf" Type="http://schemas.openxmlformats.org/officeDocument/2006/relationships/hyperlink" Id="rId64"/>
    <Relationship TargetMode="External" Target="https://www.legis.iowa.gov/docs/ico/chapter/148E.pdf" Type="http://schemas.openxmlformats.org/officeDocument/2006/relationships/hyperlink" Id="rId65"/>
    <Relationship TargetMode="External" Target="https://www.legis.iowa.gov/docs/ico/chapter/148H.pdf" Type="http://schemas.openxmlformats.org/officeDocument/2006/relationships/hyperlink" Id="rId66"/>
    <Relationship TargetMode="External" Target="https://www.legis.iowa.gov/docs/ico/chapter/272C.pdf" Type="http://schemas.openxmlformats.org/officeDocument/2006/relationships/hyperlink" Id="rId67"/>
    <Relationship TargetMode="External" Target="https://www.legis.iowa.gov/docs/ico/chapter/272D.pdf" Type="http://schemas.openxmlformats.org/officeDocument/2006/relationships/hyperlink" Id="rId68"/>
    <Relationship Target="footer.xml" Type="http://schemas.openxmlformats.org/officeDocument/2006/relationships/footer" Id="rId6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