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658</w:t>
      </w:r>
    </w:p>
    <w:p>
      <w:pPr>
        <w:spacing w:before="0" w:after="0"/>
        <w:ind w:left="120"/>
        <w:jc w:val="center"/>
      </w:pPr>
      <w:r>
        <w:rPr>
          <w:rFonts w:ascii="Times New Roman" w:hAnsi="Times New Roman"/>
          <w:b w:val="false"/>
          <w:i w:val="false"/>
          <w:color w:val="000000"/>
          <w:sz w:val="21"/>
        </w:rPr>
        <w:t>LICENSURE OF GENETIC COUNSELORS</w:t>
      </w:r>
    </w:p>
    <w:p>
      <w:pPr>
        <w:spacing w:before="0" w:after="0"/>
        <w:ind w:left="120"/>
        <w:jc w:val="center"/>
      </w:pPr>
      <w:r>
        <w:rPr>
          <w:rFonts w:ascii="Times New Roman" w:hAnsi="Times New Roman"/>
          <w:b w:val="false"/>
          <w:i w:val="false"/>
          <w:color w:val="000000"/>
          <w:sz w:val="20"/>
        </w:rPr>
        <w:t>[Prior to 6/11/25, see Medicine Board[653]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481—658.1</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associate licensed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481—658.2</w:t>
      </w:r>
      <w:r>
        <w:rPr>
          <w:rFonts w:ascii="Times New Roman" w:hAnsi="Times New Roman"/>
          <w:b/>
          <w:i w:val="false"/>
          <w:color w:val="000000"/>
          <w:sz w:val="22"/>
        </w:rPr>
        <w:t xml:space="preserve">(148H)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chapter </w:t>
      </w:r>
      <w:hyperlink r:id="rId10">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in addition to those listed below, apply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Board of Genetic Counseling”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“ABGC”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Board of Medical Genetics and Genomics”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“ABMGG”</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481—658.3</w:t>
      </w:r>
      <w:r>
        <w:rPr>
          <w:rFonts w:ascii="Times New Roman" w:hAnsi="Times New Roman"/>
          <w:b/>
          <w:i w:val="false"/>
          <w:color w:val="000000"/>
          <w:sz w:val="22"/>
        </w:rPr>
        <w:t xml:space="preserve">(148H) </w:t>
      </w:r>
      <w:r>
        <w:rPr>
          <w:rFonts w:ascii="Times New Roman" w:hAnsi="Times New Roman"/>
          <w:b/>
          <w:i w:val="false"/>
          <w:color w:val="000000"/>
          <w:sz w:val="22"/>
        </w:rPr>
        <w:t xml:space="preserve">Titles used. </w:t>
      </w:r>
      <w:r>
        <w:rPr>
          <w:rFonts w:ascii="Times New Roman" w:hAnsi="Times New Roman"/>
          <w:b w:val="false"/>
          <w:i w:val="false"/>
          <w:color w:val="000000"/>
          <w:sz w:val="22"/>
        </w:rPr>
        <w:t xml:space="preserve">A genetic counselor licensed under Iowa Code chapter </w:t>
      </w:r>
      <w:hyperlink r:id="rId1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use the words “genetic counselor” or “licensed genetic counselor” or the corresponding abbreviation “LGC” after the person’s name. Persons who possess a provisional license shall add the designation “provisional licensed genetic counselor.”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481—658.4</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licensure under Iowa Code chapter </w:t>
      </w:r>
      <w:hyperlink r:id="rId12">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form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658.4(2)</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481—658.5</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provisional licensure. </w:t>
      </w:r>
      <w:r>
        <w:rPr>
          <w:rFonts w:ascii="Times New Roman" w:hAnsi="Times New Roman"/>
          <w:b w:val="false"/>
          <w:i w:val="false"/>
          <w:color w:val="000000"/>
          <w:sz w:val="22"/>
        </w:rPr>
        <w:t>The board may issue a provisional license to an applicant who meets all of the requirements for licensure except for the certification component and who has been granted active candidate status by the American Board of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658.5(1)</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provisional license application form, proof of active candidate status, and supporting documentation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expires and becomes inactive upon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license as a genetic counselor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active candidate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holding a provisional license that is inactive due to loss of active candidate status may submit an application for reactivation of the provisional license upon demonstrating that active candidate status has been reestablished.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extension of a provisional license shall be signed by a qualified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printed on the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658.5(3)</w:t>
      </w:r>
      <w:r>
        <w:rPr>
          <w:rFonts w:ascii="Times New Roman" w:hAnsi="Times New Roman"/>
          <w:b w:val="false"/>
          <w:i w:val="false"/>
          <w:color w:val="000000"/>
          <w:sz w:val="22"/>
        </w:rPr>
        <w:t> </w:t>
      </w:r>
      <w:r>
        <w:rPr>
          <w:rFonts w:ascii="Times New Roman" w:hAnsi="Times New Roman"/>
          <w:b w:val="false"/>
          <w:i w:val="false"/>
          <w:color w:val="000000"/>
          <w:sz w:val="22"/>
        </w:rPr>
        <w:t>A person with a provisional license shall work at all times under the supervision of a qualified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481—658.6</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3">
        <w:r>
          <w:rPr>
            <w:rStyle w:val="Hyperlink"/>
            <w:rFonts w:ascii="Times New Roman" w:hAnsi="Times New Roman"/>
            <w:b w:val="false"/>
            <w:i w:val="false"/>
            <w:color w:val="000000"/>
            <w:sz w:val="22"/>
          </w:rPr>
          <w:t>481—subrule 651.13(1)</w:t>
        </w:r>
      </w:hyperlink>
      <w:r>
        <w:rPr>
          <w:rFonts w:ascii="Times New Roman" w:hAnsi="Times New Roman"/>
          <w:b w:val="false"/>
          <w:i w:val="false"/>
          <w:color w:val="000000"/>
          <w:sz w:val="22"/>
        </w:rPr>
        <w:t xml:space="preserve"> and pay the fee identified in </w:t>
      </w:r>
      <w:hyperlink r:id="rId1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that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 xml:space="preserve">If the applicant does not submit all materials within 90 days of the board’s initial request for further information, the application is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5">
        <w:r>
          <w:rPr>
            <w:rStyle w:val="Hyperlink"/>
            <w:rFonts w:ascii="Times New Roman" w:hAnsi="Times New Roman"/>
            <w:b w:val="false"/>
            <w:i w:val="false"/>
            <w:color w:val="000000"/>
            <w:sz w:val="22"/>
          </w:rPr>
          <w:t>481—subrule 651.13(2)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certifying organizations, health facilities, and educational institutions providing the information specified in subrule </w:t>
      </w:r>
      <w:hyperlink r:id="rId16">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7">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 xml:space="preserve">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 xml:space="preserve">Licensure applications will be reviewed pursuant to the process outlined in rule </w:t>
      </w:r>
      <w:hyperlink r:id="rId18">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19">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w:t>
      </w:r>
      <w:hyperlink r:id="rId23">
        <w:r>
          <w:rPr>
            <w:rStyle w:val="Hyperlink"/>
            <w:rFonts w:ascii="Times New Roman" w:hAnsi="Times New Roman"/>
            <w:b w:val="false"/>
            <w:i w:val="false"/>
            <w:color w:val="000000"/>
            <w:sz w:val="22"/>
          </w:rPr>
          <w:t>481—658.20</w:t>
        </w:r>
      </w:hyperlink>
      <w:r>
        <w:rPr>
          <w:rFonts w:ascii="Times New Roman" w:hAnsi="Times New Roman"/>
          <w:b w:val="false"/>
          <w:i w:val="false"/>
          <w:color w:val="000000"/>
          <w:sz w:val="22"/>
        </w:rPr>
        <w:t>(147,148H,272C).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issues a preliminary notice of denial that is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considers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5">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6">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481—658.7</w:t>
      </w:r>
      <w:r>
        <w:rPr>
          <w:rFonts w:ascii="Times New Roman" w:hAnsi="Times New Roman"/>
          <w:b/>
          <w:i w:val="false"/>
          <w:color w:val="000000"/>
          <w:sz w:val="22"/>
        </w:rPr>
        <w:t xml:space="preserve">(147,148H) </w:t>
      </w:r>
      <w:r>
        <w:rPr>
          <w:rFonts w:ascii="Times New Roman" w:hAnsi="Times New Roman"/>
          <w:b/>
          <w:i w:val="false"/>
          <w:color w:val="000000"/>
          <w:sz w:val="22"/>
        </w:rPr>
        <w:t xml:space="preserve">Display of license and 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genetic counselors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658.7(2)</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within one month of a change in home address, address of the place of practice, home or practice telephone number, or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658.7(3)</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658.7(4)</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481—658.8</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 xml:space="preserve">, a license expires on October 31 of odd-numbered years and can be renewed for the fee identified in </w:t>
      </w:r>
      <w:hyperlink r:id="rId29">
        <w:r>
          <w:rPr>
            <w:rStyle w:val="Hyperlink"/>
            <w:rFonts w:ascii="Times New Roman" w:hAnsi="Times New Roman"/>
            <w:b w:val="false"/>
            <w:i w:val="false"/>
            <w:color w:val="000000"/>
            <w:sz w:val="22"/>
          </w:rPr>
          <w:t>481—paragraph 651.14(2)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for renewal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that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to the board that in the period since the license was issued or last renewed, the applicant has completed 30 hours of National Society of Genetic Counselors or ABMGG continuing education units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658.8(2)</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genetic counseling expire on October 31 in odd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658.8(3)</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658.8(4)</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odd-numbered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fee identified in </w:t>
      </w:r>
      <w:hyperlink r:id="rId30">
        <w:r>
          <w:rPr>
            <w:rStyle w:val="Hyperlink"/>
            <w:rFonts w:ascii="Times New Roman" w:hAnsi="Times New Roman"/>
            <w:b w:val="false"/>
            <w:i w:val="false"/>
            <w:color w:val="000000"/>
            <w:sz w:val="22"/>
          </w:rPr>
          <w:t>481—subrule 651.13(4)</w:t>
        </w:r>
      </w:hyperlink>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658.8(5)</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genetic counseling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genetic counselor license in inactive or lapsed status does not preclude the board from taking disciplinary actions authorized in Iowa Code section </w:t>
      </w:r>
      <w:hyperlink r:id="rId3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481—658.9</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reactivation of a license to practice genetic counseling.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w:t>
      </w:r>
      <w:hyperlink r:id="rId35">
        <w:r>
          <w:rPr>
            <w:rStyle w:val="Hyperlink"/>
            <w:rFonts w:ascii="Times New Roman" w:hAnsi="Times New Roman"/>
            <w:b w:val="false"/>
            <w:i w:val="false"/>
            <w:color w:val="000000"/>
            <w:sz w:val="22"/>
          </w:rPr>
          <w:t>481—subrule 651.13(7)</w:t>
        </w:r>
      </w:hyperlink>
      <w:r>
        <w:rPr>
          <w:rFonts w:ascii="Times New Roman" w:hAnsi="Times New Roman"/>
          <w:b w:val="false"/>
          <w:i w:val="false"/>
          <w:color w:val="000000"/>
          <w:sz w:val="22"/>
        </w:rPr>
        <w:t xml:space="preserve"> plus the fee identified in </w:t>
      </w:r>
      <w:hyperlink r:id="rId36">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the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658.9(2)</w:t>
      </w:r>
      <w:r>
        <w:rPr>
          <w:rFonts w:ascii="Times New Roman" w:hAnsi="Times New Roman"/>
          <w:b w:val="false"/>
          <w:i w:val="false"/>
          <w:color w:val="000000"/>
          <w:sz w:val="22"/>
        </w:rPr>
        <w:t> </w:t>
      </w:r>
      <w:r>
        <w:rPr>
          <w:rFonts w:ascii="Times New Roman" w:hAnsi="Times New Roman"/>
          <w:b w:val="false"/>
          <w:i/>
          <w:color w:val="000000"/>
          <w:sz w:val="22"/>
        </w:rPr>
        <w:t xml:space="preserve">Reactivation for an applicant who has been out of practice for three years. </w:t>
      </w:r>
      <w:r>
        <w:rPr>
          <w:rFonts w:ascii="Times New Roman" w:hAnsi="Times New Roman"/>
          <w:b w:val="false"/>
          <w:i w:val="false"/>
          <w:color w:val="000000"/>
          <w:sz w:val="22"/>
        </w:rPr>
        <w:t>If an applicant for reactivation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any other pathway as agreed upon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481—658.10</w:t>
      </w:r>
      <w:r>
        <w:rPr>
          <w:rFonts w:ascii="Times New Roman" w:hAnsi="Times New Roman"/>
          <w:b/>
          <w:i w:val="false"/>
          <w:color w:val="000000"/>
          <w:sz w:val="22"/>
        </w:rPr>
        <w:t xml:space="preserve">(272C)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NSGC Code of Ethics prepared and approved by the National Society of Genetic Counselors shall be utilized by the board as guiding principles in the practice of genetic counseling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481—658.11</w:t>
      </w:r>
      <w:r>
        <w:rPr>
          <w:rFonts w:ascii="Times New Roman" w:hAnsi="Times New Roman"/>
          <w:b/>
          <w:i w:val="false"/>
          <w:color w:val="000000"/>
          <w:sz w:val="22"/>
        </w:rPr>
        <w:t xml:space="preserve">(148H,272C) </w:t>
      </w:r>
      <w:r>
        <w:rPr>
          <w:rFonts w:ascii="Times New Roman" w:hAnsi="Times New Roman"/>
          <w:b/>
          <w:i w:val="false"/>
          <w:color w:val="000000"/>
          <w:sz w:val="22"/>
        </w:rPr>
        <w:t xml:space="preserve">Surrender of license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658.11(1)</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ABGC certification has lapsed or whose certification has been revoked by the ABGC shall surrender the genetic counselor’s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658.11(2)</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who loses active candidate status with the ABGC must immediately cease the practice of genetic counseling until the provisional licensee obtains an extension of the provisional license or obtains a new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4339C</w:t>
      </w:r>
      <w:r>
        <w:rPr>
          <w:rFonts w:ascii="Times New Roman" w:hAnsi="Times New Roman"/>
          <w:b w:val="false"/>
          <w:i w:val="false"/>
          <w:color w:val="000000"/>
          <w:sz w:val="21"/>
        </w:rPr>
        <w:t xml:space="preserve"> (Notice ARC 4095C, IAB 10/24/18)</w:t>
      </w:r>
      <w:r>
        <w:rPr>
          <w:rFonts w:ascii="Times New Roman" w:hAnsi="Times New Roman"/>
          <w:b w:val="false"/>
          <w:i w:val="false"/>
          <w:color w:val="000000"/>
          <w:sz w:val="21"/>
        </w:rPr>
        <w:t>, IAB 3/13/19, effective 4/17/19]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4468C, IAB 6/5/19, effective 5/15/19]</w:t>
      </w:r>
    </w:p>
    <w:p>
      <w:pPr>
        <w:spacing w:before="0" w:after="0"/>
        <w:ind w:left="120"/>
        <w:jc w:val="center"/>
      </w:pPr>
      <w:r>
        <w:rPr>
          <w:rFonts w:ascii="Times New Roman" w:hAnsi="Times New Roman"/>
          <w:b w:val="false"/>
          <w:i w:val="false"/>
          <w:color w:val="000000"/>
          <w:sz w:val="21"/>
        </w:rPr>
        <w:t>[Filed ARC 4728C</w:t>
      </w:r>
      <w:r>
        <w:rPr>
          <w:rFonts w:ascii="Times New Roman" w:hAnsi="Times New Roman"/>
          <w:b w:val="false"/>
          <w:i w:val="false"/>
          <w:color w:val="000000"/>
          <w:sz w:val="21"/>
        </w:rPr>
        <w:t xml:space="preserve"> (Notice ARC 4477C, IAB 6/5/19)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9118C</w:t>
      </w:r>
      <w:r>
        <w:rPr>
          <w:rFonts w:ascii="Times New Roman" w:hAnsi="Times New Roman"/>
          <w:b w:val="false"/>
          <w:i w:val="false"/>
          <w:color w:val="000000"/>
          <w:sz w:val="21"/>
        </w:rPr>
        <w:t xml:space="preserve"> (Notice ARC 8703C,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April 17, 2019, effective date of Chapter 20 [ARC 4339C] delayed 70 days by the Administrative Rules Review Committee at its meeting held April 5, 2019; delay lifted at the meeting held May 14, 2019.</w:t>
      </w:r>
    </w:p>
    <w:sectPr>
      <w:footerReference r:id="rId4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H.pdf" Type="http://schemas.openxmlformats.org/officeDocument/2006/relationships/hyperlink" Id="rId9"/>
    <Relationship TargetMode="External" Target="https://www.legis.iowa.gov/docs/ico/chapter/148H.pdf" Type="http://schemas.openxmlformats.org/officeDocument/2006/relationships/hyperlink" Id="rId10"/>
    <Relationship TargetMode="External" Target="https://www.legis.iowa.gov/docs/ico/chapter/148H.pdf" Type="http://schemas.openxmlformats.org/officeDocument/2006/relationships/hyperlink" Id="rId11"/>
    <Relationship TargetMode="External" Target="https://www.legis.iowa.gov/docs/ico/chapter/148H.pdf" Type="http://schemas.openxmlformats.org/officeDocument/2006/relationships/hyperlink" Id="rId12"/>
    <Relationship TargetMode="External" Target="https://www.legis.iowa.gov/docs/iac/rule/481.651.13.pdf" Type="http://schemas.openxmlformats.org/officeDocument/2006/relationships/hyperlink" Id="rId13"/>
    <Relationship TargetMode="External" Target="https://www.legis.iowa.gov/docs/iac/rule/481.651.13.pdf" Type="http://schemas.openxmlformats.org/officeDocument/2006/relationships/hyperlink" Id="rId14"/>
    <Relationship TargetMode="External" Target="https://www.legis.iowa.gov/docs/iac/rule/481.651.13.pdf" Type="http://schemas.openxmlformats.org/officeDocument/2006/relationships/hyperlink" Id="rId15"/>
    <Relationship TargetMode="External" Target="https://www.legis.iowa.gov/docs/iac/rule/653.658.6.pdf" Type="http://schemas.openxmlformats.org/officeDocument/2006/relationships/hyperlink" Id="rId16"/>
    <Relationship TargetMode="External" Target="https://www.legis.iowa.gov/docs/iac/rule/653.658.6.pdf" Type="http://schemas.openxmlformats.org/officeDocument/2006/relationships/hyperlink" Id="rId17"/>
    <Relationship TargetMode="External" Target="https://www.legis.iowa.gov/docs/iac/rule/481.652.7.pdf" Type="http://schemas.openxmlformats.org/officeDocument/2006/relationships/hyperlink" Id="rId18"/>
    <Relationship TargetMode="External" Target="https://www.legis.iowa.gov/docs/ico/chapter/148H.3.pdf" Type="http://schemas.openxmlformats.org/officeDocument/2006/relationships/hyperlink" Id="rId19"/>
    <Relationship TargetMode="External" Target="https://www.legis.iowa.gov/docs/ico/chapter/147.4.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H.7.pdf" Type="http://schemas.openxmlformats.org/officeDocument/2006/relationships/hyperlink" Id="rId22"/>
    <Relationship TargetMode="External" Target="https://www.legis.iowa.gov/docs/iac/rule/481.658.20.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rule/653.658.6.pdf" Type="http://schemas.openxmlformats.org/officeDocument/2006/relationships/hyperlink" Id="rId25"/>
    <Relationship TargetMode="External" Target="https://www.legis.iowa.gov/docs/iac/rule/653.658.6.pdf" Type="http://schemas.openxmlformats.org/officeDocument/2006/relationships/hyperlink" Id="rId26"/>
    <Relationship TargetMode="External" Target="https://www.legis.iowa.gov/docs/iac/chapter/7.2504.pdf" Type="http://schemas.openxmlformats.org/officeDocument/2006/relationships/hyperlink" Id="rId27"/>
    <Relationship TargetMode="External" Target="https://www.legis.iowa.gov/docs/ico/chapter/148H.3.pdf" Type="http://schemas.openxmlformats.org/officeDocument/2006/relationships/hyperlink" Id="rId28"/>
    <Relationship TargetMode="External" Target="https://www.legis.iowa.gov/docs/iac/rule/481.651.14.pdf" Type="http://schemas.openxmlformats.org/officeDocument/2006/relationships/hyperlink" Id="rId29"/>
    <Relationship TargetMode="External" Target="https://www.legis.iowa.gov/docs/iac/rule/481.651.13.pdf" Type="http://schemas.openxmlformats.org/officeDocument/2006/relationships/hyperlink" Id="rId30"/>
    <Relationship TargetMode="External" Target="https://www.legis.iowa.gov/docs/ico/chapter/147.55.pdf" Type="http://schemas.openxmlformats.org/officeDocument/2006/relationships/hyperlink" Id="rId31"/>
    <Relationship TargetMode="External" Target="https://www.legis.iowa.gov/docs/ico/chapter/148H.7.pdf" Type="http://schemas.openxmlformats.org/officeDocument/2006/relationships/hyperlink" Id="rId32"/>
    <Relationship TargetMode="External" Target="https://www.legis.iowa.gov/docs/ico/chapter/147.11.pdf" Type="http://schemas.openxmlformats.org/officeDocument/2006/relationships/hyperlink" Id="rId33"/>
    <Relationship TargetMode="External" Target="https://www.legis.iowa.gov/docs/iac/rule/481.651.13.pdf" Type="http://schemas.openxmlformats.org/officeDocument/2006/relationships/hyperlink" Id="rId34"/>
    <Relationship TargetMode="External" Target="https://www.legis.iowa.gov/docs/iac/rule/481.651.13.pdf" Type="http://schemas.openxmlformats.org/officeDocument/2006/relationships/hyperlink" Id="rId35"/>
    <Relationship TargetMode="External" Target="https://www.legis.iowa.gov/docs/iac/rule/481.651.13.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48H.pdf" Type="http://schemas.openxmlformats.org/officeDocument/2006/relationships/hyperlink" Id="rId39"/>
    <Relationship TargetMode="External" Target="https://www.legis.iowa.gov/docs/ico/chapter/272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