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655</w:t>
      </w:r>
    </w:p>
    <w:p>
      <w:pPr>
        <w:spacing w:before="0" w:after="0"/>
        <w:ind w:left="120"/>
        <w:jc w:val="center"/>
      </w:pPr>
      <w:r>
        <w:rPr>
          <w:rFonts w:ascii="Times New Roman" w:hAnsi="Times New Roman"/>
          <w:b w:val="false"/>
          <w:i w:val="false"/>
          <w:color w:val="000000"/>
          <w:sz w:val="21"/>
        </w:rPr>
        <w:t>STANDARDS OF PRACTICE AND PRINCIPLES OF MEDICAL ETHICS</w:t>
      </w:r>
    </w:p>
    <w:p>
      <w:pPr>
        <w:spacing w:before="0" w:after="0"/>
        <w:ind w:left="120"/>
        <w:jc w:val="center"/>
      </w:pPr>
      <w:r>
        <w:rPr>
          <w:rFonts w:ascii="Times New Roman" w:hAnsi="Times New Roman"/>
          <w:b w:val="false"/>
          <w:i w:val="false"/>
          <w:color w:val="000000"/>
          <w:sz w:val="20"/>
        </w:rPr>
        <w:t>[Prior to 5/4/88, see 470—135.251 through 135.402]</w:t>
      </w:r>
    </w:p>
    <w:p>
      <w:pPr>
        <w:spacing w:before="0" w:after="0"/>
        <w:ind w:left="120"/>
        <w:jc w:val="center"/>
      </w:pPr>
      <w:r>
        <w:rPr>
          <w:rFonts w:ascii="Times New Roman" w:hAnsi="Times New Roman"/>
          <w:b w:val="false"/>
          <w:i w:val="false"/>
          <w:color w:val="000000"/>
          <w:sz w:val="20"/>
        </w:rPr>
        <w:t>[Prior to 6/11/25, see Medicine Board[653]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481—655.1</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practice—packaging, labeling and records of prescription drugs dispensed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shall dispense a prescription drug only in a container that meets the requirements of the Poison Prevention Packaging Act of 1970,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Sections 1471-1476 (2001), unless otherwise requested by the patient, and of Section 502G of the Federal Food, Drug and Cosmetic Act,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301 et seq.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w:t>
      </w:r>
      <w:r>
        <w:rPr>
          <w:rFonts w:ascii="Times New Roman" w:hAnsi="Times New Roman"/>
          <w:b w:val="false"/>
          <w:i w:val="false"/>
          <w:color w:val="000000"/>
          <w:sz w:val="22"/>
        </w:rPr>
        <w:t> </w:t>
      </w:r>
      <w:r>
        <w:rPr>
          <w:rFonts w:ascii="Times New Roman" w:hAnsi="Times New Roman"/>
          <w:b w:val="false"/>
          <w:i w:val="false"/>
          <w:color w:val="000000"/>
          <w:sz w:val="22"/>
        </w:rPr>
        <w:t>A label affixed to a container in which a prescription drug is dispensed by a physician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strength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
        <w:r>
          <w:rPr>
            <w:rStyle w:val="Hyperlink"/>
            <w:rFonts w:ascii="Times New Roman" w:hAnsi="Times New Roman"/>
            <w:b w:val="false"/>
            <w:i w:val="false"/>
            <w:color w:val="000000"/>
            <w:sz w:val="22"/>
          </w:rPr>
          <w:t>655.1(1)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655.1(2)</w:t>
        </w:r>
      </w:hyperlink>
      <w:r>
        <w:rPr>
          <w:rFonts w:ascii="Times New Roman" w:hAnsi="Times New Roman"/>
          <w:b w:val="false"/>
          <w:i w:val="false"/>
          <w:color w:val="000000"/>
          <w:sz w:val="22"/>
        </w:rPr>
        <w:t xml:space="preserve"> shall not apply to packaged drug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w:t>
      </w:r>
      <w:r>
        <w:rPr>
          <w:rFonts w:ascii="Times New Roman" w:hAnsi="Times New Roman"/>
          <w:b w:val="false"/>
          <w:i w:val="false"/>
          <w:color w:val="000000"/>
          <w:sz w:val="22"/>
        </w:rPr>
        <w:t> </w:t>
      </w:r>
      <w:r>
        <w:rPr>
          <w:rFonts w:ascii="Times New Roman" w:hAnsi="Times New Roman"/>
          <w:b w:val="false"/>
          <w:i w:val="false"/>
          <w:color w:val="000000"/>
          <w:sz w:val="22"/>
        </w:rPr>
        <w:t>Physicians must document all prescription drugs dispensed to patients, including required label information. Noting such information on the patient’s chart or record maintained by the physician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481—655.2</w:t>
      </w:r>
      <w:r>
        <w:rPr>
          <w:rFonts w:ascii="Times New Roman" w:hAnsi="Times New Roman"/>
          <w:b/>
          <w:i w:val="false"/>
          <w:color w:val="000000"/>
          <w:sz w:val="22"/>
        </w:rPr>
        <w:t xml:space="preserve">(124,148,272C) </w:t>
      </w:r>
      <w:r>
        <w:rPr>
          <w:rFonts w:ascii="Times New Roman" w:hAnsi="Times New Roman"/>
          <w:b/>
          <w:i w:val="false"/>
          <w:color w:val="000000"/>
          <w:sz w:val="22"/>
        </w:rPr>
        <w:t xml:space="preserve">Standards of practice—appropriate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This rule establishes standards of practice for the management of acute and chronic pain. The board encourages the use of nonopioid pharmacologic therapy and nonpharmacologic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is intended to encourage appropriate pain management, including the use of opioids for the treatment of pain, while stressing the need to establish safeguards to minimize the potential for substance abuse and drug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goal of pain management is to treat each patient’s pain in relation to the patient’s overall health. At the end of life, the goals may shift to palliative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Pain management is an important part of medical practice. Unmanaged or inappropriately treated pain impacts patients’ quality of life, reduces patients’ ability to be productive members of society, and increases patients’ use of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treating pain with opioids in a manner consistent with appropriate pain management practices should not fear board action. Dosage is not the sole measure of determining whether a physician has complied with appropriate pain management practices. The board recognizes the complexity of treating patients with chronic pain or a substance abuse history. Generally, the board is concerned about a pattern of improper pain management or a single occurrence of willful or gross overtreatment or undertreatment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Inappropriate pain management is a departure from the acceptable standard of practice in Iowa and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pain”</w:t>
      </w:r>
      <w:r>
        <w:rPr>
          <w:rFonts w:ascii="Times New Roman" w:hAnsi="Times New Roman"/>
          <w:b w:val="false"/>
          <w:i w:val="false"/>
          <w:color w:val="000000"/>
          <w:sz w:val="22"/>
        </w:rPr>
        <w:t> </w:t>
      </w:r>
      <w:r>
        <w:rPr>
          <w:rFonts w:ascii="Times New Roman" w:hAnsi="Times New Roman"/>
          <w:b w:val="false"/>
          <w:i w:val="false"/>
          <w:color w:val="000000"/>
          <w:sz w:val="22"/>
        </w:rPr>
        <w:t>means the normal, predicted physiological response to a noxious chemical, thermal or mechanical stimulus and typically is associated with invasive procedures, trauma and disease. Generally, acute pain is self-limited, lasting no more than a few weeks following the initial stimulus.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“Addiction”</w:t>
      </w:r>
      <w:r>
        <w:rPr>
          <w:rFonts w:ascii="Times New Roman" w:hAnsi="Times New Roman"/>
          <w:b w:val="false"/>
          <w:i w:val="false"/>
          <w:color w:val="000000"/>
          <w:sz w:val="22"/>
        </w:rPr>
        <w:t> </w:t>
      </w:r>
      <w:r>
        <w:rPr>
          <w:rFonts w:ascii="Times New Roman" w:hAnsi="Times New Roman"/>
          <w:b w:val="false"/>
          <w:i w:val="false"/>
          <w:color w:val="000000"/>
          <w:sz w:val="22"/>
        </w:rPr>
        <w:t>means a primary, chronic, neurobiologic disease, with genetic, psychosocial, and environmental factors influencing its development and manifestations. It is characterized by behaviors that include the following: impaired control over drug use, craving, compulsive use, and continued use despite harm. Physical dependence and tolerance are normal physiological consequences of extended opioid therapy for pain and are not the same as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pain”</w:t>
      </w:r>
      <w:r>
        <w:rPr>
          <w:rFonts w:ascii="Times New Roman" w:hAnsi="Times New Roman"/>
          <w:b w:val="false"/>
          <w:i w:val="false"/>
          <w:color w:val="000000"/>
          <w:sz w:val="22"/>
        </w:rPr>
        <w:t> </w:t>
      </w:r>
      <w:r>
        <w:rPr>
          <w:rFonts w:ascii="Times New Roman" w:hAnsi="Times New Roman"/>
          <w:b w:val="false"/>
          <w:i w:val="false"/>
          <w:color w:val="000000"/>
          <w:sz w:val="22"/>
        </w:rPr>
        <w:t>means pain that lasts longer than three months or past the time of normal tissue healing.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w:t>
      </w:r>
      <w:r>
        <w:rPr>
          <w:rFonts w:ascii="Times New Roman" w:hAnsi="Times New Roman"/>
          <w:b w:val="false"/>
          <w:i w:val="false"/>
          <w:color w:val="000000"/>
          <w:sz w:val="22"/>
        </w:rPr>
        <w:t> </w:t>
      </w:r>
      <w:r>
        <w:rPr>
          <w:rFonts w:ascii="Times New Roman" w:hAnsi="Times New Roman"/>
          <w:b w:val="false"/>
          <w:i w:val="false"/>
          <w:color w:val="000000"/>
          <w:sz w:val="22"/>
        </w:rPr>
        <w:t>means an unpleasant sensory and emotional experience associated with actual or potential tissue damage or described in terms of such damage. Pain is an individual, multifactorial experience influenced by culture, previous pain events, beliefs, mood and ability to 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dependence”</w:t>
      </w:r>
      <w:r>
        <w:rPr>
          <w:rFonts w:ascii="Times New Roman" w:hAnsi="Times New Roman"/>
          <w:b w:val="false"/>
          <w:i w:val="false"/>
          <w:color w:val="000000"/>
          <w:sz w:val="22"/>
        </w:rPr>
        <w:t> </w:t>
      </w:r>
      <w:r>
        <w:rPr>
          <w:rFonts w:ascii="Times New Roman" w:hAnsi="Times New Roman"/>
          <w:b w:val="false"/>
          <w:i w:val="false"/>
          <w:color w:val="000000"/>
          <w:sz w:val="22"/>
        </w:rPr>
        <w:t>means a state of adaptation that is manifested by drug class-specific signs and symptoms that can be produced by abrupt cessation, rapid dose reduction, decreasing blood level of the drug, or administration of an antagonist. Physical dependence, by itself,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“Pseudoaddiction”</w:t>
      </w:r>
      <w:r>
        <w:rPr>
          <w:rFonts w:ascii="Times New Roman" w:hAnsi="Times New Roman"/>
          <w:b w:val="false"/>
          <w:i w:val="false"/>
          <w:color w:val="000000"/>
          <w:sz w:val="22"/>
        </w:rPr>
        <w:t> </w:t>
      </w:r>
      <w:r>
        <w:rPr>
          <w:rFonts w:ascii="Times New Roman" w:hAnsi="Times New Roman"/>
          <w:b w:val="false"/>
          <w:i w:val="false"/>
          <w:color w:val="000000"/>
          <w:sz w:val="22"/>
        </w:rPr>
        <w:t>means an iatrogenic syndrome resulting from the misinterpretation of relief-seeking behaviors as though they are drug-seeking behaviors that are commonly seen with addiction. The relief-seeking behaviors resolve upon institution of effective analgesic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“Substance abuse”</w:t>
      </w:r>
      <w:r>
        <w:rPr>
          <w:rFonts w:ascii="Times New Roman" w:hAnsi="Times New Roman"/>
          <w:b w:val="false"/>
          <w:i w:val="false"/>
          <w:color w:val="000000"/>
          <w:sz w:val="22"/>
        </w:rPr>
        <w:t> </w:t>
      </w:r>
      <w:r>
        <w:rPr>
          <w:rFonts w:ascii="Times New Roman" w:hAnsi="Times New Roman"/>
          <w:b w:val="false"/>
          <w:i w:val="false"/>
          <w:color w:val="000000"/>
          <w:sz w:val="22"/>
        </w:rPr>
        <w:t>means the use of a drug, including alcohol, by the patient in an inappropriate manner that may cause harm to the patient or others, or the use of a drug for an indication other than that intended by the prescribing clinician. An abuser may or may not be physically dependent on or addicted to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“Tolerance”</w:t>
      </w:r>
      <w:r>
        <w:rPr>
          <w:rFonts w:ascii="Times New Roman" w:hAnsi="Times New Roman"/>
          <w:b w:val="false"/>
          <w:i w:val="false"/>
          <w:color w:val="000000"/>
          <w:sz w:val="22"/>
        </w:rPr>
        <w:t> </w:t>
      </w:r>
      <w:r>
        <w:rPr>
          <w:rFonts w:ascii="Times New Roman" w:hAnsi="Times New Roman"/>
          <w:b w:val="false"/>
          <w:i w:val="false"/>
          <w:color w:val="000000"/>
          <w:sz w:val="22"/>
        </w:rPr>
        <w:t>means a physiological state resulting from regular use of a drug in which an increased dosage is needed to produce a specific effect, or a reduced effect is observed with a constant dose over time. Tolerance may or may not be evident during opioid treatment and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“Undertreatment of pain”</w:t>
      </w:r>
      <w:r>
        <w:rPr>
          <w:rFonts w:ascii="Times New Roman" w:hAnsi="Times New Roman"/>
          <w:b w:val="false"/>
          <w:i w:val="false"/>
          <w:color w:val="000000"/>
          <w:sz w:val="22"/>
        </w:rPr>
        <w:t> </w:t>
      </w:r>
      <w:r>
        <w:rPr>
          <w:rFonts w:ascii="Times New Roman" w:hAnsi="Times New Roman"/>
          <w:b w:val="false"/>
          <w:i w:val="false"/>
          <w:color w:val="000000"/>
          <w:sz w:val="22"/>
        </w:rPr>
        <w:t>means the failure to properly assess, treat and manage pain or the failure to appropriately document a sound rationale for not treating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655.2(3)</w:t>
      </w:r>
      <w:r>
        <w:rPr>
          <w:rFonts w:ascii="Times New Roman" w:hAnsi="Times New Roman"/>
          <w:b w:val="false"/>
          <w:i w:val="false"/>
          <w:color w:val="000000"/>
          <w:sz w:val="22"/>
        </w:rPr>
        <w:t> </w:t>
      </w:r>
      <w:r>
        <w:rPr>
          <w:rFonts w:ascii="Times New Roman" w:hAnsi="Times New Roman"/>
          <w:b w:val="false"/>
          <w:i/>
          <w:color w:val="000000"/>
          <w:sz w:val="22"/>
        </w:rPr>
        <w:t xml:space="preserve">Laws and regulations. </w:t>
      </w:r>
      <w:r>
        <w:rPr>
          <w:rFonts w:ascii="Times New Roman" w:hAnsi="Times New Roman"/>
          <w:b w:val="false"/>
          <w:i w:val="false"/>
          <w:color w:val="000000"/>
          <w:sz w:val="22"/>
        </w:rPr>
        <w:t>Nothing in this rule relieves a physician from fully complying with applicable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655.2(4)</w:t>
      </w: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The undertreatment of pain is a departure from the acceptable standard of practice in Iowa. Undertreatment may include a failure to recognize symptoms and signs of pain, a failure to treat pain within a reasonable amount of time, a failure to allow interventions, e.g., analgesia, to become effective before invasive steps are taken, a failure to address pain needs in patients with reduced cognitive status, a failure to use opioids for terminal pain due to the physician’s concern with addicting the patient, or a failure to use an adequate level of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655.2(5)</w:t>
      </w:r>
      <w:r>
        <w:rPr>
          <w:rFonts w:ascii="Times New Roman" w:hAnsi="Times New Roman"/>
          <w:b w:val="false"/>
          <w:i w:val="false"/>
          <w:color w:val="000000"/>
          <w:sz w:val="22"/>
        </w:rPr>
        <w:t> </w:t>
      </w:r>
      <w:r>
        <w:rPr>
          <w:rFonts w:ascii="Times New Roman" w:hAnsi="Times New Roman"/>
          <w:b w:val="false"/>
          <w:i/>
          <w:color w:val="000000"/>
          <w:sz w:val="22"/>
        </w:rPr>
        <w:t xml:space="preserve">Assessment and treatment of acute and chronic pain. </w:t>
      </w:r>
      <w:r>
        <w:rPr>
          <w:rFonts w:ascii="Times New Roman" w:hAnsi="Times New Roman"/>
          <w:b w:val="false"/>
          <w:i w:val="false"/>
          <w:color w:val="000000"/>
          <w:sz w:val="22"/>
        </w:rPr>
        <w:t>Appropriate assessment of the etiology of the pain is essential to the appropriate treatment of acute and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only be accomplished within an established physician-patient relationship and should be based on clearly diagnosed and documented pain. Appropriate management of acute and chronic pain should include an assessment of the mechanism, type and intensity of pain. The patient’s medical record should clearly document a medical history, a pain history, a clinical examination, a medical diagnosis and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dispenses or administers opioids to patients for the treatment of chronic pain should become familiar with the U.S. Centers for Disease Control and Prevention (CDC) Guideline for Prescribing Opioids for Chronic Pain published on March 15,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655.2(6)</w:t>
      </w:r>
      <w:r>
        <w:rPr>
          <w:rFonts w:ascii="Times New Roman" w:hAnsi="Times New Roman"/>
          <w:b w:val="false"/>
          <w:i w:val="false"/>
          <w:color w:val="000000"/>
          <w:sz w:val="22"/>
        </w:rPr>
        <w:t> </w:t>
      </w:r>
      <w:r>
        <w:rPr>
          <w:rFonts w:ascii="Times New Roman" w:hAnsi="Times New Roman"/>
          <w:b w:val="false"/>
          <w:i/>
          <w:color w:val="000000"/>
          <w:sz w:val="22"/>
        </w:rPr>
        <w:t xml:space="preserve">Effective management of chronic pain. </w:t>
      </w:r>
      <w:r>
        <w:rPr>
          <w:rFonts w:ascii="Times New Roman" w:hAnsi="Times New Roman"/>
          <w:b w:val="false"/>
          <w:i w:val="false"/>
          <w:color w:val="000000"/>
          <w:sz w:val="22"/>
        </w:rPr>
        <w:t>To ensure that chronic pain is properly assessed and treated, a physician who prescribes, dispenses or administers opioids to a patient for the treatment of chronic pain shall exercise sound clinical judgment and establish an effective pain management plan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Patient evaluation. </w:t>
      </w:r>
      <w:r>
        <w:rPr>
          <w:rFonts w:ascii="Times New Roman" w:hAnsi="Times New Roman"/>
          <w:b w:val="false"/>
          <w:i w:val="false"/>
          <w:color w:val="000000"/>
          <w:sz w:val="22"/>
        </w:rPr>
        <w:t>Prior to the patient starting treatment, a patient evaluation must be conducted that includes a physical examination, a comprehensive medical history, pain assessment, and examination of physical and psychological function. This evaluation should also cover diagnostic studies, past interventions, medication and substance abuse history, and any underlying conditions. Depending on the complexity of the case and the physician’s expertise, consultation or referral to specialists in pain medicine, addiction medicine, or areas associated with the patient’s pain may be necessary. Interdisciplinary evaluation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The physician must create a tailored treatment plan addressing the patient’s individual needs, outlining treatment objectives such as pain relief or improved functioning, and indicating any planned diagnostic evaluations or treatments. The plan should include other treatment modalities and rehabilitation programs used. Short- and long-term pain relief needs should be considered, along with the patient’s ability to request pain relief and the patient’s setting. Whenever possible, opioids should be prescribed by one physician and filled at one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discussion of the risks and benefits of opioids with the patient or person representing the patient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The physician must regularly review the patient’s drug treatment course and pain source. Drug therapy should be adjusted to meet individual patient needs, based on progress toward treatment plan objectives. If reviews show treatment plan objectives are not being met or indicate diversion or substance abuse patterns, the physician should reconsider drug therapy and explore other treatment options. Long-term opioid use may lead to tolerance and abnormal pain sensitivity, meaning increasing doses may not improve pain control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Consultation/referral. </w:t>
      </w:r>
      <w:r>
        <w:rPr>
          <w:rFonts w:ascii="Times New Roman" w:hAnsi="Times New Roman"/>
          <w:b w:val="false"/>
          <w:i w:val="false"/>
          <w:color w:val="000000"/>
          <w:sz w:val="22"/>
        </w:rPr>
        <w:t>A specialty consultation, including with a physician with expertise in addiction medicine or substance abuse counseling, may be considered if there is evidence of significant adverse effects, lack of response to the medication, diversion, or a pattern of substance abuse. The board encourages a multidisciplinary approach to chronic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physician shall keep accurate, timely, and complete records that detail compliance with this subrule, including patient evaluation, diagnostic studies, treatment modalities, treatment plan, informed consent, periodic review, consultation, and any other relevant information about the patient’s condition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agreements. </w:t>
      </w:r>
      <w:r>
        <w:rPr>
          <w:rFonts w:ascii="Times New Roman" w:hAnsi="Times New Roman"/>
          <w:b w:val="false"/>
          <w:i w:val="false"/>
          <w:color w:val="000000"/>
          <w:sz w:val="22"/>
        </w:rPr>
        <w:t>Physicians treating chronic pain with opioids should consider implementing a pain management agreement with each patient outlining medication use rules and consequences for misuse. The decision to use such an agreement should be based on individual patient evaluation, weighing risks and benefits of long-term opioid treatment. If opioid treatment exceeds 90 days for chronic pain, and there is a concern for drug abuse or diversion, a pain management agreement should be used. If a physician opts not to use a pain management agreement, reasons should be documented in the patient’s medical records. Pain management agreements are not required for hospice or nursing home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history or comorbid psychiatric disorder. </w:t>
      </w:r>
      <w:r>
        <w:rPr>
          <w:rFonts w:ascii="Times New Roman" w:hAnsi="Times New Roman"/>
          <w:b w:val="false"/>
          <w:i w:val="false"/>
          <w:color w:val="000000"/>
          <w:sz w:val="22"/>
        </w:rPr>
        <w:t>A patient’s prior history of substance abuse does not necessarily contraindicate appropriate pain management. However, treatment of patients with a history of substance abuse or with a comorbid psychiatric disorder may require extra care and communication with the patient, monitoring, documentation, and consultation with or referral to an expert in the management of such patients. The board strongly encourages a multidisciplinary approach for pain management of such patients that incorporates the expertise of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A physician who prescribes opioids to a patient for more than 90 days for the treatment of chronic pain should consider utilizing drug testing to ensure that the patient is receiving appropriate therapeutic levels of prescribed medications or if the physician has reason to believe that the patient is at risk of drug abuse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care. </w:t>
      </w:r>
      <w:r>
        <w:rPr>
          <w:rFonts w:ascii="Times New Roman" w:hAnsi="Times New Roman"/>
          <w:b w:val="false"/>
          <w:i w:val="false"/>
          <w:color w:val="000000"/>
          <w:sz w:val="22"/>
        </w:rPr>
        <w:t>The physician should consider termination of patient care if there is evidence of noncompliance with the rules for medication use, drug diversion, or a repeated pattern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655.2(7)</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for terminal illness. </w:t>
      </w:r>
      <w:r>
        <w:rPr>
          <w:rFonts w:ascii="Times New Roman" w:hAnsi="Times New Roman"/>
          <w:b w:val="false"/>
          <w:i w:val="false"/>
          <w:color w:val="000000"/>
          <w:sz w:val="22"/>
        </w:rPr>
        <w:t>The provisions of this subrule apply to patients who are at the stage in the progression of cancer or other terminal illness when the goal of pain management is comfort care. When the goal of treatment shifts to comfort care rather than cure of the underlying condition, the board recognizes that the dosage level of opioids to control pain may exceed dosages recommended for chronic pain and may come at the expense of patient function. The determination of such pain management should involve the patient, if possible, and others the patient has designated for assisting in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655.2(8)</w:t>
      </w: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The board of pharmacy established a prescription monitoring program pursuant to Iowa Code sections </w:t>
      </w:r>
      <w:hyperlink r:id="rId7">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124.558</w:t>
        </w:r>
      </w:hyperlink>
      <w:r>
        <w:rPr>
          <w:rFonts w:ascii="Times New Roman" w:hAnsi="Times New Roman"/>
          <w:b w:val="false"/>
          <w:i w:val="false"/>
          <w:color w:val="000000"/>
          <w:sz w:val="22"/>
        </w:rPr>
        <w:t xml:space="preserve"> to help prescribers and pharmacists track controlled substance prescriptions. Physicians must register for this program when applying for or renewing their controlled substance prescribing registration. Before prescribing opioids, physicians or their agents must use the program to guide treatment decisions and enhance patient care quality. However, utilization is not required for patients in inpatient hospice care or long-term residential facilities. Orders in hospital settings are not considered prescriptions under these rules, as patient safety is managed within these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655.2(9)</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prescriptions. </w:t>
      </w:r>
      <w:r>
        <w:rPr>
          <w:rFonts w:ascii="Times New Roman" w:hAnsi="Times New Roman"/>
          <w:b w:val="false"/>
          <w:i w:val="false"/>
          <w:color w:val="000000"/>
          <w:sz w:val="22"/>
        </w:rPr>
        <w:t xml:space="preserve">Beginning January 1, 2020, all prescriptions (controlled and noncontrolled substances) are to be transmitted electronically as electronic prescriptions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A prescription shall be transmitted to a pharmacy by the physician or the physician’s authorized agent in compliance with federal law and regulation for electronic prescriptions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655.2(10)</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resources. </w:t>
      </w:r>
      <w:r>
        <w:rPr>
          <w:rFonts w:ascii="Times New Roman" w:hAnsi="Times New Roman"/>
          <w:b w:val="false"/>
          <w:i w:val="false"/>
          <w:color w:val="000000"/>
          <w:sz w:val="22"/>
        </w:rPr>
        <w:t>The board strongly recommends that physicians consult the following resources regarding the proper treatment of chronic pain. This list is provided for the convenience of licensees, and the publications included are not intended to be incorporated in the 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Hospice and Palliative Medicine or AAHPM is the American Medical Association-recognized specialty society of physicians who practice in hospice and palliative medicine in the United States. The mission of the AAHPM is to enhance the treatment of pain at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Academy of Pain Medicine or AAPM is the American Medical Association-recognized specialty society of physicians who practice pain medicine in the United States. The mission of the AAPM is to enhance pain medicine practice by promoting a climate conducive to the effective and efficient practice of pain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Pain Society or APS is the national chapter of the International Association for the Study of Pain, an organization composed of physicians, nurses, psychologists, scientists and other professionals who have an interest in the study and treatment of pain. The mission of the APS is to serve people in pain by advancing research, education, treatment and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 Policy Statement: Dispensing Controlled Substances for the Treatment of Pain. On August 28, 2006, the Drug Enforcement Agency (DEA) issued a policy statement establishing guidelines for practitioners who dispense controlled substances for the treatment of pain. This policy statement may be helpful to practitioners who treat pain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Interagency Guideline on Prescribing Opioids for Pain. Developed by the Washington State Agency Medical Directors’ Group in collaboration with an expert advisory panel, actively practicing providers and public stakeholders, the guideline focuses on evidence-based treatment for chronic-pain patients. The guideline was published in 2007 and updated in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Opioid Prescribing: A Physician’s Guide. In 2007, in collaboration with author Scott Fishman, M.D., the Federation of State Medical Boards’ (FSMB’s) Research and Education Foundation published a book on responsible opioid prescribing based on the FSMB Model Policy for the Use of Controlled Substances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World Health Organization: Pain Relief Ladder. Cancer pain relief and palliative care. Technical report series 804. Geneva: World Health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CDC Guideline for Prescribing Opioids for Chronic Pain as referenced in paragraph </w:t>
      </w:r>
      <w:hyperlink r:id="rId10">
        <w:r>
          <w:rPr>
            <w:rStyle w:val="Hyperlink"/>
            <w:rFonts w:ascii="Times New Roman" w:hAnsi="Times New Roman"/>
            <w:b w:val="false"/>
            <w:i w:val="false"/>
            <w:color w:val="000000"/>
            <w:sz w:val="22"/>
          </w:rPr>
          <w:t>655.2(4)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the rules found in </w:t>
      </w:r>
      <w:hyperlink r:id="rId11">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opioids in dosage amounts exceeding what would be prescribed by a reasonably prudent physician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the confidentiality requirements of Iowa Code section </w:t>
      </w:r>
      <w:hyperlink r:id="rId12">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or who delegates program information access to another individual except as provided in Iowa Code section </w:t>
      </w:r>
      <w:hyperlink r:id="rId13">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other requirements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655.2(12)</w:t>
      </w:r>
      <w:r>
        <w:rPr>
          <w:rFonts w:ascii="Times New Roman" w:hAnsi="Times New Roman"/>
          <w:b w:val="false"/>
          <w:i w:val="false"/>
          <w:color w:val="000000"/>
          <w:sz w:val="22"/>
        </w:rPr>
        <w:t> </w:t>
      </w:r>
      <w:r>
        <w:rPr>
          <w:rFonts w:ascii="Times New Roman" w:hAnsi="Times New Roman"/>
          <w:b w:val="false"/>
          <w:i/>
          <w:color w:val="000000"/>
          <w:sz w:val="22"/>
        </w:rPr>
        <w:t xml:space="preserve">Unlawful access, disclosure, or use of information. </w:t>
      </w:r>
      <w:r>
        <w:rPr>
          <w:rFonts w:ascii="Times New Roman" w:hAnsi="Times New Roman"/>
          <w:b w:val="false"/>
          <w:i w:val="false"/>
          <w:color w:val="000000"/>
          <w:sz w:val="22"/>
        </w:rPr>
        <w:t xml:space="preserve">A person who intentionally or knowingly accesses, uses, or discloses information from the prescription monitoring program in violation of Iowa Code section </w:t>
      </w:r>
      <w:hyperlink r:id="rId15">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unless otherwise authorized by law, is guilty of a class “D” felony. This subrule shall not preclude a physician who requests and receives information from the prescription monitoring program consistent with the requirements of Iowa Code section </w:t>
      </w:r>
      <w:hyperlink r:id="rId16">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from otherwise lawfully providing that information to any other person for medical care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481—655.3</w:t>
      </w:r>
      <w:r>
        <w:rPr>
          <w:rFonts w:ascii="Times New Roman" w:hAnsi="Times New Roman"/>
          <w:b/>
          <w:i w:val="false"/>
          <w:color w:val="000000"/>
          <w:sz w:val="22"/>
        </w:rPr>
        <w:t xml:space="preserve">(147,148) </w:t>
      </w:r>
      <w:r>
        <w:rPr>
          <w:rFonts w:ascii="Times New Roman" w:hAnsi="Times New Roman"/>
          <w:b/>
          <w:i w:val="false"/>
          <w:color w:val="000000"/>
          <w:sz w:val="22"/>
        </w:rPr>
        <w:t xml:space="preserve">Standards of practice—chelation therapy. </w:t>
      </w:r>
      <w:r>
        <w:rPr>
          <w:rFonts w:ascii="Times New Roman" w:hAnsi="Times New Roman"/>
          <w:b w:val="false"/>
          <w:i w:val="false"/>
          <w:color w:val="000000"/>
          <w:sz w:val="22"/>
        </w:rPr>
        <w:t>Chelation therapy or disodium ethylene diamine tetra acetic acid (EDTA) may only be used for the treatment of heavy metal poisoning or in the clinical setting when a licensee experienced in clinical investigations conducts a carefully controlled clinical investigation of its effectiveness in treating other diseases or medical conditions under a research protocol that has been approved by an institutional review board of the University of Iowa or Des Moines University—Osteopathic Medical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481—655.4</w:t>
      </w:r>
      <w:r>
        <w:rPr>
          <w:rFonts w:ascii="Times New Roman" w:hAnsi="Times New Roman"/>
          <w:b/>
          <w:i w:val="false"/>
          <w:color w:val="000000"/>
          <w:sz w:val="22"/>
        </w:rPr>
        <w:t xml:space="preserve">(79GA,HF726) </w:t>
      </w:r>
      <w:r>
        <w:rPr>
          <w:rFonts w:ascii="Times New Roman" w:hAnsi="Times New Roman"/>
          <w:b/>
          <w:i w:val="false"/>
          <w:color w:val="000000"/>
          <w:sz w:val="22"/>
        </w:rPr>
        <w:t xml:space="preserve">Standards of practice—automated dispensing systems. </w:t>
      </w:r>
      <w:r>
        <w:rPr>
          <w:rFonts w:ascii="Times New Roman" w:hAnsi="Times New Roman"/>
          <w:b w:val="false"/>
          <w:i w:val="false"/>
          <w:color w:val="000000"/>
          <w:sz w:val="22"/>
        </w:rPr>
        <w:t>A physician who dispenses prescription drugs via an automated dispensing system or a dispensing system that employs technology may delegate nonjudgmental dispensing functions to staff assistants in the absence of a pharmacist or physician provided that the physician utilizes an internal quality control assurance plan that ensures that the medication dispensed is the medication that was prescribed. The physician must be physically present to determine the accuracy and completeness of any medication that is reconstituted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655.4(1)</w:t>
      </w:r>
      <w:r>
        <w:rPr>
          <w:rFonts w:ascii="Times New Roman" w:hAnsi="Times New Roman"/>
          <w:b w:val="false"/>
          <w:i w:val="false"/>
          <w:color w:val="000000"/>
          <w:sz w:val="22"/>
        </w:rPr>
        <w:t> </w:t>
      </w:r>
      <w:r>
        <w:rPr>
          <w:rFonts w:ascii="Times New Roman" w:hAnsi="Times New Roman"/>
          <w:b w:val="false"/>
          <w:i w:val="false"/>
          <w:color w:val="000000"/>
          <w:sz w:val="22"/>
        </w:rPr>
        <w:t>An internal quality control assurance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physician responsible for the plan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that the dispensing system employs to ensure the accuracy of the patient’s name and medication, dosage, directions and amount of medication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that the physician expects to be met to ensure the accuracy of the dispensing system and the training and qualifications of staff members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utilized to ensure that the physician(s) dispensing via the automated system provide(s) patients counseling regarding the prescription drugs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training and qualifications for dispensing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staff members who meet the qualifications and who are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testing the dispensing system and each staff member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that show compliance with the standards prior to implementation of the dispensing system and prior to approval of each staff member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plan for interval testing of the accuracy of dispensing, at least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plan for addressing inaccuracies, including discontinuing dispensing until the accuracy level can be reattained.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655.4(2)</w:t>
      </w:r>
      <w:r>
        <w:rPr>
          <w:rFonts w:ascii="Times New Roman" w:hAnsi="Times New Roman"/>
          <w:b w:val="false"/>
          <w:i w:val="false"/>
          <w:color w:val="000000"/>
          <w:sz w:val="22"/>
        </w:rPr>
        <w:t> </w:t>
      </w:r>
      <w:r>
        <w:rPr>
          <w:rFonts w:ascii="Times New Roman" w:hAnsi="Times New Roman"/>
          <w:b w:val="false"/>
          <w:i w:val="false"/>
          <w:color w:val="000000"/>
          <w:sz w:val="22"/>
        </w:rPr>
        <w:t>Those dispensing systems already in place shall show evidence of a plan and testing within two months of August 31,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655.4(3)</w:t>
      </w:r>
      <w:r>
        <w:rPr>
          <w:rFonts w:ascii="Times New Roman" w:hAnsi="Times New Roman"/>
          <w:b w:val="false"/>
          <w:i w:val="false"/>
          <w:color w:val="000000"/>
          <w:sz w:val="22"/>
        </w:rPr>
        <w:t> </w:t>
      </w:r>
      <w:r>
        <w:rPr>
          <w:rFonts w:ascii="Times New Roman" w:hAnsi="Times New Roman"/>
          <w:b w:val="false"/>
          <w:i w:val="false"/>
          <w:color w:val="000000"/>
          <w:sz w:val="22"/>
        </w:rPr>
        <w:t>The internal quality control assurance plan shall be submitted to the board of medicine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practice—office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physician-patient relationship. </w:t>
      </w:r>
      <w:r>
        <w:rPr>
          <w:rFonts w:ascii="Times New Roman" w:hAnsi="Times New Roman"/>
          <w:b w:val="false"/>
          <w:i w:val="false"/>
          <w:color w:val="000000"/>
          <w:sz w:val="22"/>
        </w:rPr>
        <w:t>A physician may choose whom to serve. Having undertaken the care of a patient, the physician may not neglect the patient. A physician must provide a patient written notice of the termination of the physician-patient relationship. A physician shall ensure that emergency medical care is available to the patient during the 30-day period following notice of the termination of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655.5(2)</w:t>
      </w:r>
      <w:r>
        <w:rPr>
          <w:rFonts w:ascii="Times New Roman" w:hAnsi="Times New Roman"/>
          <w:b w:val="false"/>
          <w:i w:val="false"/>
          <w:color w:val="000000"/>
          <w:sz w:val="22"/>
        </w:rPr>
        <w:t> </w:t>
      </w:r>
      <w:r>
        <w:rPr>
          <w:rFonts w:ascii="Times New Roman" w:hAnsi="Times New Roman"/>
          <w:b w:val="false"/>
          <w:i/>
          <w:color w:val="000000"/>
          <w:sz w:val="22"/>
        </w:rPr>
        <w:t xml:space="preserve">Patient referrals. </w:t>
      </w:r>
      <w:r>
        <w:rPr>
          <w:rFonts w:ascii="Times New Roman" w:hAnsi="Times New Roman"/>
          <w:b w:val="false"/>
          <w:i w:val="false"/>
          <w:color w:val="000000"/>
          <w:sz w:val="22"/>
        </w:rPr>
        <w:t>A physician shall not pay or receive compensation for patient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 physician shall maintain the confidentiality of all patient information obtained in the practice of medicine. Information shall be divulged by the physician when authorized by law or the patient or when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655.5(4)</w:t>
      </w:r>
      <w:r>
        <w:rPr>
          <w:rFonts w:ascii="Times New Roman" w:hAnsi="Times New Roman"/>
          <w:b w:val="false"/>
          <w:i w:val="false"/>
          <w:color w:val="000000"/>
          <w:sz w:val="22"/>
        </w:rPr>
        <w:t> </w:t>
      </w:r>
      <w:r>
        <w:rPr>
          <w:rFonts w:ascii="Times New Roman" w:hAnsi="Times New Roman"/>
          <w:b w:val="false"/>
          <w:i/>
          <w:color w:val="000000"/>
          <w:sz w:val="22"/>
        </w:rPr>
        <w:t xml:space="preserve">Sexual conduct. </w:t>
      </w:r>
      <w:r>
        <w:rPr>
          <w:rFonts w:ascii="Times New Roman" w:hAnsi="Times New Roman"/>
          <w:b w:val="false"/>
          <w:i w:val="false"/>
          <w:color w:val="000000"/>
          <w:sz w:val="22"/>
        </w:rPr>
        <w:t>It is unprofessional and unethical conduct, and is grounds for disciplinary action, for a physician to engage in conduct that violates the following 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course of providing medical care, a physician shall not engage in contact, touching, or comments of a sexual nature with a patient, or with the patient’s parent or guardian if the patient is a minor or under a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patient when that conduct occurs concurrent with the physician-patient relationship,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former patient unless the physician-patient relationship was completely terminated before the sexual conduct occurred. In considering whether that relationship was completely terminated, the board will consider the duration of the physician-patient relationship, the nature of the medical services provided, the lapse of time since the physician-patient relationship ended, the degree of dependence in the physician-patient relationship, and the extent to which the physician used or exploited the trust, knowledge, emotions, or influence derived from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psychiatrist, or a physician who provides mental health counseling to a patient, shall never engage in any sexual conduct with a current or former patient, or with that patient’s parent or guardian if the patient was a minor or under guardianship,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655.5(5)</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A physician shall not engage in disruptive behavior. Disruptive behavior is defined as a pattern of contentious, threatening, or intractable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655.5(6)</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A physician shall not engage in sexual harassment. Sexual harassment is defined as verbal or physical conduct of a sexual nature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655.5(7)</w:t>
      </w:r>
      <w:r>
        <w:rPr>
          <w:rFonts w:ascii="Times New Roman" w:hAnsi="Times New Roman"/>
          <w:b w:val="false"/>
          <w:i w:val="false"/>
          <w:color w:val="000000"/>
          <w:sz w:val="22"/>
        </w:rPr>
        <w:t> </w:t>
      </w:r>
      <w:r>
        <w:rPr>
          <w:rFonts w:ascii="Times New Roman" w:hAnsi="Times New Roman"/>
          <w:b w:val="false"/>
          <w:i/>
          <w:color w:val="000000"/>
          <w:sz w:val="22"/>
        </w:rPr>
        <w:t xml:space="preserve">Transfer of medical records. </w:t>
      </w:r>
      <w:r>
        <w:rPr>
          <w:rFonts w:ascii="Times New Roman" w:hAnsi="Times New Roman"/>
          <w:b w:val="false"/>
          <w:i w:val="false"/>
          <w:color w:val="000000"/>
          <w:sz w:val="22"/>
        </w:rPr>
        <w:t>A physician must provide a copy of all medical records generated by the physician in a timely manner to the patient or another physician designated by the patient, upon written request when legally requested to do so by the subject patient or by a legally designated representative of the subject patient, except as otherwise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655.5(8)</w:t>
      </w:r>
      <w:r>
        <w:rPr>
          <w:rFonts w:ascii="Times New Roman" w:hAnsi="Times New Roman"/>
          <w:b w:val="false"/>
          <w:i w:val="false"/>
          <w:color w:val="000000"/>
          <w:sz w:val="22"/>
        </w:rPr>
        <w:t> </w:t>
      </w:r>
      <w:r>
        <w:rPr>
          <w:rFonts w:ascii="Times New Roman" w:hAnsi="Times New Roman"/>
          <w:b w:val="false"/>
          <w:i/>
          <w:color w:val="000000"/>
          <w:sz w:val="22"/>
        </w:rPr>
        <w:t xml:space="preserve">Retention of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shall retain all medical records, not appropriately transferred to another physician or entity, for at least seven years from the last date of service for each patient, except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retain all medical records of minor patients, not appropriately transferred to another physician or entity, for a period consistent with that established by Iowa Code section </w:t>
      </w:r>
      <w:hyperlink r:id="rId17">
        <w:r>
          <w:rPr>
            <w:rStyle w:val="Hyperlink"/>
            <w:rFonts w:ascii="Times New Roman" w:hAnsi="Times New Roman"/>
            <w:b w:val="false"/>
            <w:i w:val="false"/>
            <w:color w:val="000000"/>
            <w:sz w:val="22"/>
          </w:rPr>
          <w:t>614.8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July 1, 2023, a physician must appoint another Iowa-licensed physician, or other representative or entity that is held to the same standards of confidentiality as the physician, to ensure that all requirements of this subrule are met in the event of the physician’s death or incapacitation. Upon request by the board, the physician must be able to establish by sufficient proof the appointment of a representative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physician’s death or retirement, the sale of a medical practice, or a physician’s departure from the physician’s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must ensure that all medical records are transferred to another physician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shall notify all active patients that their records will be transferred to another physician or entity that will retain custody of their records and that, at their written request, the records will be sent to the physician or entity of the patient’s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481—655.6</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 This rule does not apply to the standards of practice for a nonphysician licensed health professional who serves as a medical director at a medical spa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“Capable of”</w:t>
      </w:r>
      <w:r>
        <w:rPr>
          <w:rFonts w:ascii="Times New Roman" w:hAnsi="Times New Roman"/>
          <w:b w:val="false"/>
          <w:i w:val="false"/>
          <w:color w:val="000000"/>
          <w:sz w:val="22"/>
        </w:rPr>
        <w:t> </w:t>
      </w:r>
      <w:r>
        <w:rPr>
          <w:rFonts w:ascii="Times New Roman" w:hAnsi="Times New Roman"/>
          <w:b w:val="false"/>
          <w:i w:val="false"/>
          <w:color w:val="000000"/>
          <w:sz w:val="22"/>
        </w:rPr>
        <w:t>means any means, method, device or instrument that,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w:t>
      </w:r>
      <w:r>
        <w:rPr>
          <w:rFonts w:ascii="Times New Roman" w:hAnsi="Times New Roman"/>
          <w:b w:val="false"/>
          <w:i w:val="false"/>
          <w:color w:val="000000"/>
          <w:sz w:val="22"/>
        </w:rPr>
        <w:t>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“Delegate”</w:t>
      </w:r>
      <w:r>
        <w:rPr>
          <w:rFonts w:ascii="Times New Roman" w:hAnsi="Times New Roman"/>
          <w:b w:val="false"/>
          <w:i w:val="false"/>
          <w:color w:val="000000"/>
          <w:sz w:val="22"/>
        </w:rPr>
        <w:t>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aesthetic service”</w:t>
      </w:r>
      <w:r>
        <w:rPr>
          <w:rFonts w:ascii="Times New Roman" w:hAnsi="Times New Roman"/>
          <w:b w:val="false"/>
          <w:i w:val="false"/>
          <w:color w:val="000000"/>
          <w:sz w:val="22"/>
        </w:rPr>
        <w:t>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spa”</w:t>
      </w:r>
      <w:r>
        <w:rPr>
          <w:rFonts w:ascii="Times New Roman" w:hAnsi="Times New Roman"/>
          <w:b w:val="false"/>
          <w:i w:val="false"/>
          <w:color w:val="000000"/>
          <w:sz w:val="22"/>
        </w:rPr>
        <w:t> </w:t>
      </w:r>
      <w:r>
        <w:rPr>
          <w:rFonts w:ascii="Times New Roman" w:hAnsi="Times New Roman"/>
          <w:b w:val="false"/>
          <w:i w:val="false"/>
          <w:color w:val="000000"/>
          <w:sz w:val="22"/>
        </w:rPr>
        <w:t>means any entity, however organized, that is advertised, announced, established, or maintained for the purpose of providing medical aesthetic services. Medical spa shall not include a dermatology practice that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“Nonsuperficial”</w:t>
      </w:r>
      <w:r>
        <w:rPr>
          <w:rFonts w:ascii="Times New Roman" w:hAnsi="Times New Roman"/>
          <w:b w:val="false"/>
          <w:i w:val="false"/>
          <w:color w:val="000000"/>
          <w:sz w:val="22"/>
        </w:rPr>
        <w:t>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laser technician”</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licensed or certified nonphysician person”</w:t>
      </w:r>
      <w:r>
        <w:rPr>
          <w:rFonts w:ascii="Times New Roman" w:hAnsi="Times New Roman"/>
          <w:b w:val="false"/>
          <w:i w:val="false"/>
          <w:color w:val="000000"/>
          <w:sz w:val="22"/>
        </w:rPr>
        <w:t>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655.6(2)</w:t>
      </w:r>
      <w:r>
        <w:rPr>
          <w:rFonts w:ascii="Times New Roman" w:hAnsi="Times New Roman"/>
          <w:b w:val="false"/>
          <w:i w:val="false"/>
          <w:color w:val="000000"/>
          <w:sz w:val="22"/>
        </w:rPr>
        <w:t> </w:t>
      </w:r>
      <w:r>
        <w:rPr>
          <w:rFonts w:ascii="Times New Roman" w:hAnsi="Times New Roman"/>
          <w:b w:val="false"/>
          <w:i/>
          <w:color w:val="000000"/>
          <w:sz w:val="22"/>
        </w:rPr>
        <w:t xml:space="preserve">Delegation by a medical director. </w:t>
      </w:r>
      <w:r>
        <w:rPr>
          <w:rFonts w:ascii="Times New Roman" w:hAnsi="Times New Roman"/>
          <w:b w:val="false"/>
          <w:i w:val="false"/>
          <w:color w:val="000000"/>
          <w:sz w:val="22"/>
        </w:rPr>
        <w:t>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Nothing in this rule shall be interpreted to prevent a qualified nonphysician licensed health professional from serving as a medical director at a medical spa or from appropriately delegating medical aesthetic services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that are beyond the scope of that person’s license or certification unless the person is supervised by a qualified supervising physician or other qualified supervising nonphysician licensed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or other qualified supervising nonphysician licensed health professional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 medical director shall complete and shall ensure that all other physicians, qualified licensed or certified nonphysician persons, and qualified laser technicians who practice at the medical spa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655.6(8)</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nonphysician licensed health professionals. </w:t>
      </w:r>
      <w:r>
        <w:rPr>
          <w:rFonts w:ascii="Times New Roman" w:hAnsi="Times New Roman"/>
          <w:b w:val="false"/>
          <w:i w:val="false"/>
          <w:color w:val="000000"/>
          <w:sz w:val="22"/>
        </w:rPr>
        <w:t xml:space="preserve">Nothing in this rule shall be interpreted to contradict or supersede the rules established in 481—Chapters </w:t>
      </w:r>
      <w:hyperlink r:id="rId18">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practice—interventional chronic pain management. </w:t>
      </w:r>
      <w:r>
        <w:rPr>
          <w:rFonts w:ascii="Times New Roman" w:hAnsi="Times New Roman"/>
          <w:b w:val="false"/>
          <w:i w:val="false"/>
          <w:color w:val="000000"/>
          <w:sz w:val="22"/>
        </w:rPr>
        <w:t>This rule establishes standards of practice for the practice of interventional chronic pain management. The purpose of this rule is to assist physicians who consider interventional techniques to treat patients with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“Interventional chronic pain management”</w:t>
      </w:r>
      <w:r>
        <w:rPr>
          <w:rFonts w:ascii="Times New Roman" w:hAnsi="Times New Roman"/>
          <w:b w:val="false"/>
          <w:i w:val="false"/>
          <w:color w:val="000000"/>
          <w:sz w:val="22"/>
        </w:rPr>
        <w:t> </w:t>
      </w:r>
      <w:r>
        <w:rPr>
          <w:rFonts w:ascii="Times New Roman" w:hAnsi="Times New Roman"/>
          <w:b w:val="false"/>
          <w:i w:val="false"/>
          <w:color w:val="000000"/>
          <w:sz w:val="22"/>
        </w:rPr>
        <w:t>means diagnosing and treating pain-related disorders using interventional techniques for subacute, chronic, persistent, and intractable pain. These techniques include percutaneous needle placement for drug injection, nerve ablation, and certain surgeries. Common procedures involve injecting steroids, analgesic, and anesthetics into targeted areas such as the spine, joints, or nerves. This may include lumbar, thoracic, and cervical spine injections; nerve blocks; and processes like vertebroplasty. Fluoroscopy is used to assess chronic pain causes or aid in identifying anatomical landmarks during these techniques. Specific procedures include joint injections, nerve blocks, epidural injections, and nerve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655.7(2)</w:t>
      </w: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The practice of interventional chronic pain management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assessment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of the cause of the patient’s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alternative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Selection of appropriate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Termination of prescribed treatment options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with other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655.7(3)</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Interventional chronic pain management is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practice—physicians who prescribe or administer abortion-inducing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“Abortion-inducing drug”</w:t>
      </w:r>
      <w:r>
        <w:rPr>
          <w:rFonts w:ascii="Times New Roman" w:hAnsi="Times New Roman"/>
          <w:b w:val="false"/>
          <w:i w:val="false"/>
          <w:color w:val="000000"/>
          <w:sz w:val="22"/>
        </w:rPr>
        <w:t> </w:t>
      </w:r>
      <w:r>
        <w:rPr>
          <w:rFonts w:ascii="Times New Roman" w:hAnsi="Times New Roman"/>
          <w:b w:val="false"/>
          <w:i w:val="false"/>
          <w:color w:val="000000"/>
          <w:sz w:val="22"/>
        </w:rPr>
        <w:t>means a drug, medicine, mixture, or preparation, when it is prescribed or administered with the intent to terminate the pregnancy of a woman known to be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655.8(2)</w:t>
      </w:r>
      <w:r>
        <w:rPr>
          <w:rFonts w:ascii="Times New Roman" w:hAnsi="Times New Roman"/>
          <w:b w:val="false"/>
          <w:i w:val="false"/>
          <w:color w:val="000000"/>
          <w:sz w:val="22"/>
        </w:rPr>
        <w:t> </w:t>
      </w:r>
      <w:r>
        <w:rPr>
          <w:rFonts w:ascii="Times New Roman" w:hAnsi="Times New Roman"/>
          <w:b w:val="false"/>
          <w:i/>
          <w:color w:val="000000"/>
          <w:sz w:val="22"/>
        </w:rPr>
        <w:t xml:space="preserve">Review of patient record. </w:t>
      </w:r>
      <w:r>
        <w:rPr>
          <w:rFonts w:ascii="Times New Roman" w:hAnsi="Times New Roman"/>
          <w:b w:val="false"/>
          <w:i w:val="false"/>
          <w:color w:val="000000"/>
          <w:sz w:val="22"/>
        </w:rPr>
        <w:t xml:space="preserve">A physician shall not induce an abortion by providing an abortion-inducing drug unless the physician has first reviewed the lab results, ultrasound images, and medical history provided by the patient to determine, and document in the woman’s medical record, the gestational age and intrauterine location of the pregnancy. A physician may utilize telemedicine pursuant to rule </w:t>
      </w:r>
      <w:hyperlink r:id="rId21">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655.8(3)</w:t>
      </w:r>
      <w:r>
        <w:rPr>
          <w:rFonts w:ascii="Times New Roman" w:hAnsi="Times New Roman"/>
          <w:b w:val="false"/>
          <w:i w:val="false"/>
          <w:color w:val="000000"/>
          <w:sz w:val="22"/>
        </w:rPr>
        <w:t> </w:t>
      </w:r>
      <w:r>
        <w:rPr>
          <w:rFonts w:ascii="Times New Roman" w:hAnsi="Times New Roman"/>
          <w:b w:val="false"/>
          <w:i/>
          <w:color w:val="000000"/>
          <w:sz w:val="22"/>
        </w:rPr>
        <w:t xml:space="preserve">Follow-up appointment required. </w:t>
      </w:r>
      <w:r>
        <w:rPr>
          <w:rFonts w:ascii="Times New Roman" w:hAnsi="Times New Roman"/>
          <w:b w:val="false"/>
          <w:i w:val="false"/>
          <w:color w:val="000000"/>
          <w:sz w:val="22"/>
        </w:rPr>
        <w:t>If an abortion is induced by an abortion-inducing drug, the physician or designee shall use all reasonable efforts to ensure a follow-up appointment is scheduled with the patient at the same facility within 12 to 18 days after the patient’s use of an abortion-inducing drug to confirm the termination of the pregnancy and evaluate the woman’s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655.8(4)</w:t>
      </w:r>
      <w:r>
        <w:rPr>
          <w:rFonts w:ascii="Times New Roman" w:hAnsi="Times New Roman"/>
          <w:b w:val="false"/>
          <w:i w:val="false"/>
          <w:color w:val="000000"/>
          <w:sz w:val="22"/>
        </w:rPr>
        <w:t> </w:t>
      </w:r>
      <w:r>
        <w:rPr>
          <w:rFonts w:ascii="Times New Roman" w:hAnsi="Times New Roman"/>
          <w:b w:val="false"/>
          <w:i/>
          <w:color w:val="000000"/>
          <w:sz w:val="22"/>
        </w:rPr>
        <w:t xml:space="preserve">Parental notification regarding pregnant minors. </w:t>
      </w:r>
      <w:r>
        <w:rPr>
          <w:rFonts w:ascii="Times New Roman" w:hAnsi="Times New Roman"/>
          <w:b w:val="false"/>
          <w:i w:val="false"/>
          <w:color w:val="000000"/>
          <w:sz w:val="22"/>
        </w:rPr>
        <w:t xml:space="preserve">A physician shall not induce an abortion by providing an abortion-inducing drug to a pregnant minor prior to compliance with the requirements of Iowa Code chapter </w:t>
      </w:r>
      <w:hyperlink r:id="rId22">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and rules </w:t>
      </w:r>
      <w:hyperlink r:id="rId23">
        <w:r>
          <w:rPr>
            <w:rStyle w:val="Hyperlink"/>
            <w:rFonts w:ascii="Times New Roman" w:hAnsi="Times New Roman"/>
            <w:b w:val="false"/>
            <w:i w:val="false"/>
            <w:color w:val="000000"/>
            <w:sz w:val="22"/>
          </w:rPr>
          <w:t>641—89.12</w:t>
        </w:r>
      </w:hyperlink>
      <w:r>
        <w:rPr>
          <w:rFonts w:ascii="Times New Roman" w:hAnsi="Times New Roman"/>
          <w:b w:val="false"/>
          <w:i w:val="false"/>
          <w:color w:val="000000"/>
          <w:sz w:val="22"/>
        </w:rPr>
        <w:t xml:space="preserve">(135L) and </w:t>
      </w:r>
      <w:hyperlink r:id="rId24">
        <w:r>
          <w:rPr>
            <w:rStyle w:val="Hyperlink"/>
            <w:rFonts w:ascii="Times New Roman" w:hAnsi="Times New Roman"/>
            <w:b w:val="false"/>
            <w:i w:val="false"/>
            <w:color w:val="000000"/>
            <w:sz w:val="22"/>
          </w:rPr>
          <w:t>641—89.21</w:t>
        </w:r>
      </w:hyperlink>
      <w:r>
        <w:rPr>
          <w:rFonts w:ascii="Times New Roman" w:hAnsi="Times New Roman"/>
          <w:b w:val="false"/>
          <w:i w:val="false"/>
          <w:color w:val="000000"/>
          <w:sz w:val="22"/>
        </w:rPr>
        <w:t>(135L).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25">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is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of 1996, PL 104-191, August 21, 1996, 110 Stat. 1936, and any amendments as of October 16, 2024,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compliant with the Health Insurance Portability and Accountability Act of 1996, PL 104-191, August 21, 1996, 110 Stat. 1936, and any amendments as of October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associate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26">
        <w:r>
          <w:rPr>
            <w:rStyle w:val="Hyperlink"/>
            <w:rFonts w:ascii="Times New Roman" w:hAnsi="Times New Roman"/>
            <w:b w:val="false"/>
            <w:i w:val="false"/>
            <w:color w:val="000000"/>
            <w:sz w:val="22"/>
          </w:rPr>
          <w:t>655.9(20)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481—655.10</w:t>
      </w:r>
      <w:r>
        <w:rPr>
          <w:rFonts w:ascii="Times New Roman" w:hAnsi="Times New Roman"/>
          <w:b/>
          <w:i w:val="false"/>
          <w:color w:val="000000"/>
          <w:sz w:val="22"/>
        </w:rPr>
        <w:t xml:space="preserve">(135,147,148,272C,280) </w:t>
      </w:r>
      <w:r>
        <w:rPr>
          <w:rFonts w:ascii="Times New Roman" w:hAnsi="Times New Roman"/>
          <w:b/>
          <w:i w:val="false"/>
          <w:color w:val="000000"/>
          <w:sz w:val="22"/>
        </w:rPr>
        <w:t xml:space="preserve">Standards of practice—prescribing epinephrine auto-injectors, bronchodilator canisters, bronchodilator canisters and spacers, or opioid antagonists in the name of an authorized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655.10(1)</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as defined in Iowa Code section </w:t>
      </w:r>
      <w:hyperlink r:id="rId27">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law to the contrary, a physician may prescribe epinephrine auto-injectors, bronchodilator canisters, bronchodilator canisters and spacers, or opioid antagonists in the name of an authorized facility to be maintained for use pursuant to Iowa Code sections </w:t>
      </w:r>
      <w:hyperlink r:id="rId28">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prescribes epinephrine auto-injectors, bronchodilator canisters, bronchodilator canisters and spacers, or opioid antagonists in the name of an authorized facility to be maintained for use pursuant to Iowa Code sections </w:t>
      </w:r>
      <w:hyperlink r:id="rId32">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physician has acted reasonably and in good faith, is not liable for any injury arising from the provision, administration, or assistance in the administration of an epinephrine auto-injector, bronchodilator canisters, bronchodilator canisters and spacers, or opioid antagonists.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481—655.11</w:t>
      </w:r>
      <w:r>
        <w:rPr>
          <w:rFonts w:ascii="Times New Roman" w:hAnsi="Times New Roman"/>
          <w:b/>
          <w:i w:val="false"/>
          <w:color w:val="000000"/>
          <w:sz w:val="22"/>
        </w:rPr>
        <w:t xml:space="preserve">(144E,147,148,272C) </w:t>
      </w:r>
      <w:r>
        <w:rPr>
          <w:rFonts w:ascii="Times New Roman" w:hAnsi="Times New Roman"/>
          <w:b/>
          <w:i w:val="false"/>
          <w:color w:val="000000"/>
          <w:sz w:val="22"/>
        </w:rPr>
        <w:t xml:space="preserve">Standards of practice—experimental treatments for patients with a terminal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To the extent consistent with state law, the board will not revoke, fail to renew, suspend, or take any action against a physician’s license based solely on the physician’s recommendations to an eligible patient regarding access to or treatment with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655.11(2)</w:t>
      </w:r>
      <w:r>
        <w:rPr>
          <w:rFonts w:ascii="Times New Roman" w:hAnsi="Times New Roman"/>
          <w:b w:val="false"/>
          <w:i w:val="false"/>
          <w:color w:val="000000"/>
          <w:sz w:val="22"/>
        </w:rPr>
        <w:t> </w:t>
      </w:r>
      <w:r>
        <w:rPr>
          <w:rFonts w:ascii="Times New Roman" w:hAnsi="Times New Roman"/>
          <w:b w:val="false"/>
          <w:i/>
          <w:color w:val="000000"/>
          <w:sz w:val="22"/>
        </w:rPr>
        <w:t xml:space="preserve">Eligible patient. </w:t>
      </w:r>
      <w:r>
        <w:rPr>
          <w:rFonts w:ascii="Times New Roman" w:hAnsi="Times New Roman"/>
          <w:b w:val="false"/>
          <w:i w:val="false"/>
          <w:color w:val="000000"/>
          <w:sz w:val="22"/>
        </w:rPr>
        <w:t>A physician shall ensure that a patient meets all of the following conditions prior to the use of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has a terminal illness, attested to by the patient’s treating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has considered and rejected or has tried and failed to respond to all other treatment options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patient has received a recommendation from the patient’s physician for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has given written informed consent for the use of the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patient has documentation from the patient’s physician that the patient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 biological product, or device. </w:t>
      </w:r>
      <w:r>
        <w:rPr>
          <w:rFonts w:ascii="Times New Roman" w:hAnsi="Times New Roman"/>
          <w:b w:val="false"/>
          <w:i w:val="false"/>
          <w:color w:val="000000"/>
          <w:sz w:val="22"/>
        </w:rPr>
        <w:t>A physician may recommend access to or treatment with an investigational drug, biological product, or device that has successfully completed phase 1 of an FDA-approved clinical trial but has not yet been approved for general use by the FDA and remains under investigation in an FDA-approved clinical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655.11(4)</w:t>
      </w:r>
      <w:r>
        <w:rPr>
          <w:rFonts w:ascii="Times New Roman" w:hAnsi="Times New Roman"/>
          <w:b w:val="false"/>
          <w:i w:val="false"/>
          <w:color w:val="000000"/>
          <w:sz w:val="22"/>
        </w:rPr>
        <w:t> </w:t>
      </w:r>
      <w:r>
        <w:rPr>
          <w:rFonts w:ascii="Times New Roman" w:hAnsi="Times New Roman"/>
          <w:b w:val="false"/>
          <w:i/>
          <w:color w:val="000000"/>
          <w:sz w:val="22"/>
        </w:rPr>
        <w:t xml:space="preserve">Terminal illness. </w:t>
      </w:r>
      <w:r>
        <w:rPr>
          <w:rFonts w:ascii="Times New Roman" w:hAnsi="Times New Roman"/>
          <w:b w:val="false"/>
          <w:i w:val="false"/>
          <w:color w:val="000000"/>
          <w:sz w:val="22"/>
        </w:rPr>
        <w:t>A physician shall ensure that a patient has a terminal illness prior to the use of an investigational drug, biological product, or device pursuant to this rule. A terminal illness is a progressive disease or medical or surgical condition that entails significant functional impairment and that is not considered by a treating physician to be reversible even with administration of treatments approved by the FDA and that, without life-sustaining procedures, will result in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655.11(5)</w:t>
      </w:r>
      <w:r>
        <w:rPr>
          <w:rFonts w:ascii="Times New Roman" w:hAnsi="Times New Roman"/>
          <w:b w:val="false"/>
          <w:i w:val="false"/>
          <w:color w:val="000000"/>
          <w:sz w:val="22"/>
        </w:rPr>
        <w:t> </w:t>
      </w:r>
      <w:r>
        <w:rPr>
          <w:rFonts w:ascii="Times New Roman" w:hAnsi="Times New Roman"/>
          <w:b w:val="false"/>
          <w:i/>
          <w:color w:val="000000"/>
          <w:sz w:val="22"/>
        </w:rPr>
        <w:t xml:space="preserve">Written informed consent. </w:t>
      </w:r>
      <w:r>
        <w:rPr>
          <w:rFonts w:ascii="Times New Roman" w:hAnsi="Times New Roman"/>
          <w:b w:val="false"/>
          <w:i w:val="false"/>
          <w:color w:val="000000"/>
          <w:sz w:val="22"/>
        </w:rPr>
        <w:t>A physician shall obtain written informed consent prior to the use of an investigational drug, biological product, or device pursuant to this rule. Written informed consent is a written document that is signed by a patient, a parent of a minor patient, or a legal guardian or other legal representative of the patient and attested to by the patient’s treating physician and a witness and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products and treatments approved by the FDA for the disease or condition from which the patient suffers.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attestation that the patient concurs with the patient’s treating physician in believing that all products and treatments approved by the FDA are unlikely to prolong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identification of the specific proposed investigational drug, biological product, or device that the patient is seeking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best and worst potential outcomes of using the investigational drug, biological product, or device and a realistic description of the most likely outcome. The description to include the possibility that new, unanticipated, different, or worse symptoms might result and that death could be hastened by use of the proposed investigational drug, biological product, or device. The description is based on the treating physician’s knowledge of the proposed investigational drug, biological product, or device in conjunction with an awareness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health plan or third-party administrator and provider are not obligated to pay for any care or treatments consequent to the use of the investigational drug, biological product, or device, unless the patient’s health plan or third-party administrator and provider are specifically required to do so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eligibility for hospice care may be withdrawn if the patient begins curative treatment with the investigational drug, biological product, or device and that hospice care may be reinstated if treatment ends and the patient meets hospice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 understands that the patient is liable for all expenses consequent to the use of the investigational drug, biological product, or device and that this liability extends to the patient’s estate unless a contract between the patient and the manufacturer of the investigational drug, biological product, or device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655.11(6)</w:t>
      </w:r>
      <w:r>
        <w:rPr>
          <w:rFonts w:ascii="Times New Roman" w:hAnsi="Times New Roman"/>
          <w:b w:val="false"/>
          <w:i w:val="false"/>
          <w:color w:val="000000"/>
          <w:sz w:val="22"/>
        </w:rPr>
        <w:t> </w:t>
      </w:r>
      <w:r>
        <w:rPr>
          <w:rFonts w:ascii="Times New Roman" w:hAnsi="Times New Roman"/>
          <w:b w:val="false"/>
          <w:i/>
          <w:color w:val="000000"/>
          <w:sz w:val="22"/>
        </w:rPr>
        <w:t xml:space="preserve">Assisting suicide. </w:t>
      </w:r>
      <w:r>
        <w:rPr>
          <w:rFonts w:ascii="Times New Roman" w:hAnsi="Times New Roman"/>
          <w:b w:val="false"/>
          <w:i w:val="false"/>
          <w:color w:val="000000"/>
          <w:sz w:val="22"/>
        </w:rPr>
        <w:t xml:space="preserve">This rule is not to be construed to allow a patient’s treating physician to assist the patient in committing or attempting to commit suicide as prohibited in Iowa Code section </w:t>
      </w:r>
      <w:hyperlink r:id="rId36">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this rule or </w:t>
      </w:r>
      <w:hyperlink r:id="rId3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recommends access to or treatment with an investigational drug, biological product, or device to an individual who is not an eligible patient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obtain appropriate written informed consent prior to recommending access to or treatment with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assists the patient in committing or attempting to commit suicide as prohibited in Iowa Code section </w:t>
      </w:r>
      <w:hyperlink r:id="rId38">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practice—tick-borne disease diagnosis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 xml:space="preserve">A person licensed by the board under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shall not be subject to discipline under this chapter or the board’s enabling statute based solely on the physician’s recommendation or provision of a treatment method for Lyme disease or other tick-borne disease if the recommendation or provision of such treatment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an examination is performed and informed consent is received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identifies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the physician informs the patient about other recognized treatment options and describes to the patient the physician’s education, experience, and credentials regarding the treatment of Lyme disease or other tick-borne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uses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will not, in the opinion of the physician,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655.12(2)</w:t>
      </w:r>
      <w:r>
        <w:rPr>
          <w:rFonts w:ascii="Times New Roman" w:hAnsi="Times New Roman"/>
          <w:b w:val="false"/>
          <w:i w:val="false"/>
          <w:color w:val="000000"/>
          <w:sz w:val="22"/>
        </w:rPr>
        <w:t> </w:t>
      </w:r>
      <w:r>
        <w:rPr>
          <w:rFonts w:ascii="Times New Roman" w:hAnsi="Times New Roman"/>
          <w:b w:val="false"/>
          <w:i/>
          <w:color w:val="000000"/>
          <w:sz w:val="22"/>
        </w:rPr>
        <w:t xml:space="preserve">Lyme disease treatment. </w:t>
      </w:r>
      <w:r>
        <w:rPr>
          <w:rFonts w:ascii="Times New Roman" w:hAnsi="Times New Roman"/>
          <w:b w:val="false"/>
          <w:i w:val="false"/>
          <w:color w:val="000000"/>
          <w:sz w:val="22"/>
        </w:rPr>
        <w:t>Most cases of Lyme disease can be treated successfully with a few weeks of antibiotics. Over the past several years, the International Lyme and Associated Diseases Society (ILADS) has supported longer courses of antibiotics for some patients, versus the prescribed treatment durations identified by the Infectious Diseases Society of America (IDSA) and referenced by the CDC. While IDSA has expressed concern about overtreatment, ILADS points out that treatment decisions should be based on a risk-benefit analysis. Both groups have published evidence-based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655.12(3)</w:t>
      </w:r>
      <w:r>
        <w:rPr>
          <w:rFonts w:ascii="Times New Roman" w:hAnsi="Times New Roman"/>
          <w:b w:val="false"/>
          <w:i w:val="false"/>
          <w:color w:val="000000"/>
          <w:sz w:val="22"/>
        </w:rPr>
        <w:t> </w:t>
      </w:r>
      <w:r>
        <w:rPr>
          <w:rFonts w:ascii="Times New Roman" w:hAnsi="Times New Roman"/>
          <w:b w:val="false"/>
          <w:i/>
          <w:color w:val="000000"/>
          <w:sz w:val="22"/>
        </w:rPr>
        <w:t xml:space="preserve">Tick-borne diseases. </w:t>
      </w:r>
      <w:r>
        <w:rPr>
          <w:rFonts w:ascii="Times New Roman" w:hAnsi="Times New Roman"/>
          <w:b w:val="false"/>
          <w:i w:val="false"/>
          <w:color w:val="000000"/>
          <w:sz w:val="22"/>
        </w:rPr>
        <w:t>According to the CDC, tick-borne diseases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Anaplasmosis</w:t>
      </w:r>
      <w:r>
        <w:rPr>
          <w:rFonts w:ascii="Times New Roman" w:hAnsi="Times New Roman"/>
          <w:b w:val="false"/>
          <w:i w:val="false"/>
          <w:color w:val="000000"/>
          <w:sz w:val="22"/>
        </w:rPr>
        <w:t xml:space="preserve"> is transmitted to humans by tick bites primarily from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United States (U.S.) and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Babesiosis</w:t>
      </w:r>
      <w:r>
        <w:rPr>
          <w:rFonts w:ascii="Times New Roman" w:hAnsi="Times New Roman"/>
          <w:b w:val="false"/>
          <w:i w:val="false"/>
          <w:color w:val="000000"/>
          <w:sz w:val="22"/>
        </w:rPr>
        <w:t xml:space="preserve"> is caused by microscopic parasites that infect red blood cells. Most human cases of babesiosis in the U.S. are caused by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is found primarily in the northeastern and upper midwestern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infection has recently been described as a cause of illness in the upper midwestern region of the U.S. This infection has been found in blacklegged ticks (</w:t>
      </w:r>
      <w:r>
        <w:rPr>
          <w:rFonts w:ascii="Times New Roman" w:hAnsi="Times New Roman"/>
          <w:b w:val="false"/>
          <w:i/>
          <w:color w:val="000000"/>
          <w:sz w:val="22"/>
        </w:rPr>
        <w:t>Ixodes scapularis</w:t>
      </w:r>
      <w:r>
        <w:rPr>
          <w:rFonts w:ascii="Times New Roman" w:hAnsi="Times New Roman"/>
          <w:b w:val="false"/>
          <w:i w:val="false"/>
          <w:color w:val="000000"/>
          <w:sz w:val="22"/>
        </w:rPr>
        <w:t xml:space="preserve">) in Minnesota and Wisconsin.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is a new species and is the only species besides </w:t>
      </w:r>
      <w:r>
        <w:rPr>
          <w:rFonts w:ascii="Times New Roman" w:hAnsi="Times New Roman"/>
          <w:b w:val="false"/>
          <w:i/>
          <w:color w:val="000000"/>
          <w:sz w:val="22"/>
        </w:rPr>
        <w:t>B. burgdorferi</w:t>
      </w:r>
      <w:r>
        <w:rPr>
          <w:rFonts w:ascii="Times New Roman" w:hAnsi="Times New Roman"/>
          <w:b w:val="false"/>
          <w:i w:val="false"/>
          <w:color w:val="000000"/>
          <w:sz w:val="22"/>
        </w:rPr>
        <w:t xml:space="preserve"> known to cause Lyme disease in North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Borrelia miyamotoi</w:t>
      </w:r>
      <w:r>
        <w:rPr>
          <w:rFonts w:ascii="Times New Roman" w:hAnsi="Times New Roman"/>
          <w:b w:val="false"/>
          <w:i w:val="false"/>
          <w:color w:val="000000"/>
          <w:sz w:val="22"/>
        </w:rPr>
        <w:t xml:space="preserve"> infection has recently been described as a cause of illness in the U.S. This infection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has a geographic range similar to that of Lyme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Bourbon virus</w:t>
      </w:r>
      <w:r>
        <w:rPr>
          <w:rFonts w:ascii="Times New Roman" w:hAnsi="Times New Roman"/>
          <w:b w:val="false"/>
          <w:i w:val="false"/>
          <w:color w:val="000000"/>
          <w:sz w:val="22"/>
        </w:rPr>
        <w:t xml:space="preserve"> infection has been identified in a limited number of patients in the midwestern and southern regions of the U.S. At this time, it is not known if the virus might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Colorado tick fever</w:t>
      </w:r>
      <w:r>
        <w:rPr>
          <w:rFonts w:ascii="Times New Roman" w:hAnsi="Times New Roman"/>
          <w:b w:val="false"/>
          <w:i w:val="false"/>
          <w:color w:val="000000"/>
          <w:sz w:val="22"/>
        </w:rPr>
        <w:t xml:space="preserve"> is caused by a virus transmitted by the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Colorado tick fever occurs in the Rocky Mountain states at elevations of 4,000 to 10,500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Ehrlichiosis</w:t>
      </w:r>
      <w:r>
        <w:rPr>
          <w:rFonts w:ascii="Times New Roman" w:hAnsi="Times New Roman"/>
          <w:b w:val="false"/>
          <w:i w:val="false"/>
          <w:color w:val="000000"/>
          <w:sz w:val="22"/>
        </w:rPr>
        <w:t xml:space="preserve"> is transmitted to humans by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primarily in the south central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Heartland virus</w:t>
      </w:r>
      <w:r>
        <w:rPr>
          <w:rFonts w:ascii="Times New Roman" w:hAnsi="Times New Roman"/>
          <w:b w:val="false"/>
          <w:i w:val="false"/>
          <w:color w:val="000000"/>
          <w:sz w:val="22"/>
        </w:rPr>
        <w:t xml:space="preserve"> cases have been identified in the midwestern and southern regions of the U.S. Studies suggest that lone star ticks (</w:t>
      </w:r>
      <w:r>
        <w:rPr>
          <w:rFonts w:ascii="Times New Roman" w:hAnsi="Times New Roman"/>
          <w:b w:val="false"/>
          <w:i/>
          <w:color w:val="000000"/>
          <w:sz w:val="22"/>
        </w:rPr>
        <w:t>Amblyomma americanum</w:t>
      </w:r>
      <w:r>
        <w:rPr>
          <w:rFonts w:ascii="Times New Roman" w:hAnsi="Times New Roman"/>
          <w:b w:val="false"/>
          <w:i w:val="false"/>
          <w:color w:val="000000"/>
          <w:sz w:val="22"/>
        </w:rPr>
        <w:t>) can transmit the virus. It is unknown if the virus may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Lyme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U.S. and by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Powassan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the groundhog tick (</w:t>
      </w:r>
      <w:r>
        <w:rPr>
          <w:rFonts w:ascii="Times New Roman" w:hAnsi="Times New Roman"/>
          <w:b w:val="false"/>
          <w:i/>
          <w:color w:val="000000"/>
          <w:sz w:val="22"/>
        </w:rPr>
        <w:t>Ixodes cookei</w:t>
      </w:r>
      <w:r>
        <w:rPr>
          <w:rFonts w:ascii="Times New Roman" w:hAnsi="Times New Roman"/>
          <w:b w:val="false"/>
          <w:i w:val="false"/>
          <w:color w:val="000000"/>
          <w:sz w:val="22"/>
        </w:rPr>
        <w:t>). Cases have been reported primarily from northeastern states and the Great Lakes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Rickettsia parkeri rickettsiosis</w:t>
      </w:r>
      <w:r>
        <w:rPr>
          <w:rFonts w:ascii="Times New Roman" w:hAnsi="Times New Roman"/>
          <w:b w:val="false"/>
          <w:i w:val="false"/>
          <w:color w:val="000000"/>
          <w:sz w:val="22"/>
        </w:rPr>
        <w:t xml:space="preserve"> is transmitted to humans by the Gulf Coast tick (</w:t>
      </w:r>
      <w:r>
        <w:rPr>
          <w:rFonts w:ascii="Times New Roman" w:hAnsi="Times New Roman"/>
          <w:b w:val="false"/>
          <w:i/>
          <w:color w:val="000000"/>
          <w:sz w:val="22"/>
        </w:rPr>
        <w:t>Amblyomma maculatum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Rocky Mountain spotted fever</w:t>
      </w:r>
      <w:r>
        <w:rPr>
          <w:rFonts w:ascii="Times New Roman" w:hAnsi="Times New Roman"/>
          <w:b w:val="false"/>
          <w:i w:val="false"/>
          <w:color w:val="000000"/>
          <w:sz w:val="22"/>
        </w:rPr>
        <w:t xml:space="preserve"> is transmitted by the American dog tick (</w:t>
      </w:r>
      <w:r>
        <w:rPr>
          <w:rFonts w:ascii="Times New Roman" w:hAnsi="Times New Roman"/>
          <w:b w:val="false"/>
          <w:i/>
          <w:color w:val="000000"/>
          <w:sz w:val="22"/>
        </w:rPr>
        <w:t>Dermacentor variabilis</w:t>
      </w:r>
      <w:r>
        <w:rPr>
          <w:rFonts w:ascii="Times New Roman" w:hAnsi="Times New Roman"/>
          <w:b w:val="false"/>
          <w:i w:val="false"/>
          <w:color w:val="000000"/>
          <w:sz w:val="22"/>
        </w:rPr>
        <w:t>),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brown dog tick (</w:t>
      </w:r>
      <w:r>
        <w:rPr>
          <w:rFonts w:ascii="Times New Roman" w:hAnsi="Times New Roman"/>
          <w:b w:val="false"/>
          <w:i/>
          <w:color w:val="000000"/>
          <w:sz w:val="22"/>
        </w:rPr>
        <w:t>Rhipicephalus sanguineus</w:t>
      </w:r>
      <w:r>
        <w:rPr>
          <w:rFonts w:ascii="Times New Roman" w:hAnsi="Times New Roman"/>
          <w:b w:val="false"/>
          <w:i w:val="false"/>
          <w:color w:val="000000"/>
          <w:sz w:val="22"/>
        </w:rPr>
        <w:t>) in the U.S. The brown dog tick and other tick species are associated with Rocky Mountain spotted fever in Central America and South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Southern tick-associated rash illness</w:t>
      </w:r>
      <w:r>
        <w:rPr>
          <w:rFonts w:ascii="Times New Roman" w:hAnsi="Times New Roman"/>
          <w:b w:val="false"/>
          <w:i w:val="false"/>
          <w:color w:val="000000"/>
          <w:sz w:val="22"/>
        </w:rPr>
        <w:t xml:space="preserve"> is transmitted via bites from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in the southeastern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Tick-borne relapsing fever</w:t>
      </w:r>
      <w:r>
        <w:rPr>
          <w:rFonts w:ascii="Times New Roman" w:hAnsi="Times New Roman"/>
          <w:b w:val="false"/>
          <w:i w:val="false"/>
          <w:color w:val="000000"/>
          <w:sz w:val="22"/>
        </w:rPr>
        <w:t xml:space="preserve"> is transmitted to humans through the bite of infected soft ticks. Tick-borne relapsing fever has been reported in 15 states: Arizona, California, Colorado, Idaho, Kansas, Montana, Nevada, New Mexico, Ohio, Oklahoma, Oregon, Texas, Utah, Washington, and Wyoming and is associated with sleeping in rustic cabins and vacation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Tularemia</w:t>
      </w:r>
      <w:r>
        <w:rPr>
          <w:rFonts w:ascii="Times New Roman" w:hAnsi="Times New Roman"/>
          <w:b w:val="false"/>
          <w:i w:val="false"/>
          <w:color w:val="000000"/>
          <w:sz w:val="22"/>
        </w:rPr>
        <w:t xml:space="preserve"> is transmitted to humans by the dog tick (</w:t>
      </w:r>
      <w:r>
        <w:rPr>
          <w:rFonts w:ascii="Times New Roman" w:hAnsi="Times New Roman"/>
          <w:b w:val="false"/>
          <w:i/>
          <w:color w:val="000000"/>
          <w:sz w:val="22"/>
        </w:rPr>
        <w:t>Dermacentor variabilis</w:t>
      </w:r>
      <w:r>
        <w:rPr>
          <w:rFonts w:ascii="Times New Roman" w:hAnsi="Times New Roman"/>
          <w:b w:val="false"/>
          <w:i w:val="false"/>
          <w:color w:val="000000"/>
          <w:sz w:val="22"/>
        </w:rPr>
        <w:t>), the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Tularemia occurs throughout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364D rickettsiosis</w:t>
      </w:r>
      <w:r>
        <w:rPr>
          <w:rFonts w:ascii="Times New Roman" w:hAnsi="Times New Roman"/>
          <w:b w:val="false"/>
          <w:i w:val="false"/>
          <w:color w:val="000000"/>
          <w:sz w:val="22"/>
        </w:rPr>
        <w:t xml:space="preserve"> (</w:t>
      </w:r>
      <w:r>
        <w:rPr>
          <w:rFonts w:ascii="Times New Roman" w:hAnsi="Times New Roman"/>
          <w:b w:val="false"/>
          <w:i/>
          <w:color w:val="000000"/>
          <w:sz w:val="22"/>
        </w:rPr>
        <w:t>Rickettsia phillipi</w:t>
      </w:r>
      <w:r>
        <w:rPr>
          <w:rFonts w:ascii="Times New Roman" w:hAnsi="Times New Roman"/>
          <w:b w:val="false"/>
          <w:i w:val="false"/>
          <w:color w:val="000000"/>
          <w:sz w:val="22"/>
        </w:rPr>
        <w:t>) is transmitted to humans by the Pacific Coast tick (</w:t>
      </w:r>
      <w:r>
        <w:rPr>
          <w:rFonts w:ascii="Times New Roman" w:hAnsi="Times New Roman"/>
          <w:b w:val="false"/>
          <w:i/>
          <w:color w:val="000000"/>
          <w:sz w:val="22"/>
        </w:rPr>
        <w:t>Dermacentor occidentalis</w:t>
      </w:r>
      <w:r>
        <w:rPr>
          <w:rFonts w:ascii="Times New Roman" w:hAnsi="Times New Roman"/>
          <w:b w:val="false"/>
          <w:i w:val="false"/>
          <w:color w:val="000000"/>
          <w:sz w:val="22"/>
        </w:rPr>
        <w:t>). This is a new disease that has been found in California.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655.12(4)</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0">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perform and document an appropriate examination or fails to obtain and document appropriate informed consent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identify and document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inform the patient about other recognized treatment options or fails to describe to the patient the physician’s education, experience, and credentials regarding the treatment of Lyme disease or other tick-borne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use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in the opinion of the physician, will likely result in the direct and proximate death of or serious bodily injury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481—655.13</w:t>
      </w:r>
      <w:r>
        <w:rPr>
          <w:rFonts w:ascii="Times New Roman" w:hAnsi="Times New Roman"/>
          <w:b/>
          <w:i w:val="false"/>
          <w:color w:val="000000"/>
          <w:sz w:val="22"/>
        </w:rPr>
        <w:t xml:space="preserve">(124E,147,148,272C) </w:t>
      </w:r>
      <w:r>
        <w:rPr>
          <w:rFonts w:ascii="Times New Roman" w:hAnsi="Times New Roman"/>
          <w:b/>
          <w:i w:val="false"/>
          <w:color w:val="000000"/>
          <w:sz w:val="22"/>
        </w:rPr>
        <w:t xml:space="preserve">Standards of practice—medical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“Bordering 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331.910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“Debilitating medical condition”</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Cancer, if the underlying condition or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Multiple sclerosis with severe and persistent muscle spasms.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Seizures, including those characteristic of epilepsy.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42">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Crohn’s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Amyotrophic lateral sclerosis.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terminal illness, with a probable life expectancy of under one year, if the illness or its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Parkinson’s disease.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Ulcerative colitis.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Severe, intractable autism with self-injurious or aggressive behaviors.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Corticobasal degeneration.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Post-traumatic stress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 and quantity”</w:t>
      </w:r>
      <w:r>
        <w:rPr>
          <w:rFonts w:ascii="Times New Roman" w:hAnsi="Times New Roman"/>
          <w:b w:val="false"/>
          <w:i w:val="false"/>
          <w:color w:val="000000"/>
          <w:sz w:val="22"/>
        </w:rPr>
        <w:t> </w:t>
      </w:r>
      <w:r>
        <w:rPr>
          <w:rFonts w:ascii="Times New Roman" w:hAnsi="Times New Roman"/>
          <w:b w:val="false"/>
          <w:i w:val="false"/>
          <w:color w:val="000000"/>
          <w:sz w:val="22"/>
        </w:rPr>
        <w:t>means the types and amounts of medical cannabidiol allowed to be dispensed to a patient or primary caregiver as approved by the department subject to recommendation by the medical cannabidiol board and approval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pharmaceutical grade cannabinoid found in the plant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or any other preparation thereof that is delivered in a form recommended by the medical cannabidiol board, approved by the board of medicine, and adopted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established pursuant to Iowa Code section </w:t>
      </w:r>
      <w:hyperlink r:id="rId4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 resident of this state or a bordering state, including but not limited to a parent or legal guardian, at least 18 years of age, who has been designated by a patient’s health care practitioner as a necessary caretaker taking responsibility for managing the well-being of the patient with respect to the use of medical cannabidiol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“Untreatable pain”</w:t>
      </w:r>
      <w:r>
        <w:rPr>
          <w:rFonts w:ascii="Times New Roman" w:hAnsi="Times New Roman"/>
          <w:b w:val="false"/>
          <w:i w:val="false"/>
          <w:color w:val="000000"/>
          <w:sz w:val="22"/>
        </w:rPr>
        <w:t> </w:t>
      </w:r>
      <w:r>
        <w:rPr>
          <w:rFonts w:ascii="Times New Roman" w:hAnsi="Times New Roman"/>
          <w:b w:val="false"/>
          <w:i w:val="false"/>
          <w:color w:val="000000"/>
          <w:sz w:val="22"/>
        </w:rPr>
        <w:t>means any pain whose cause cannot be removed and, according to generally accepted medical practice, the full range of pain management modalities appropriate for the patient has been used without adequate result or with intolerable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document signed by a physician licensed pursuant to Iowa Code chapter </w:t>
      </w:r>
      <w:hyperlink r:id="rId4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with whom the patient has established a patient-physician relationship and who is the patient’s primary care provider that states that the patient has a debilitating medical condition and identifies that condition and provides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655.13(2)</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 physician who is a patient’s primary care provider may provide the patient a written certification of diagnosis if, after examining and treating the patient, the physician determines, in the physician’s medical judgment, that the patient suffers from a debilitating medical condition that qualifies for the use of medical cannabidiol pursuant to Iowa Code chapter </w:t>
      </w:r>
      <w:hyperlink r:id="rId4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shall provide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the physician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on an annual basis, if the patient continues to suffer from a debilitating medical condition and, if so, may issue the patient a new written certification of that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comply with all requirements established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may provide, but has no duty to provide, a written certification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655.13(3)</w:t>
      </w:r>
      <w:r>
        <w:rPr>
          <w:rFonts w:ascii="Times New Roman" w:hAnsi="Times New Roman"/>
          <w:b w:val="false"/>
          <w:i w:val="false"/>
          <w:color w:val="000000"/>
          <w:sz w:val="22"/>
        </w:rPr>
        <w:t> </w:t>
      </w:r>
      <w:r>
        <w:rPr>
          <w:rFonts w:ascii="Times New Roman" w:hAnsi="Times New Roman"/>
          <w:b w:val="false"/>
          <w:i/>
          <w:color w:val="000000"/>
          <w:sz w:val="22"/>
        </w:rPr>
        <w:t xml:space="preserve">Adding or removing debilitating medical conditions and amending form and quantity of medical cannabidiol. </w:t>
      </w:r>
      <w:r>
        <w:rPr>
          <w:rFonts w:ascii="Times New Roman" w:hAnsi="Times New Roman"/>
          <w:b w:val="false"/>
          <w:i w:val="false"/>
          <w:color w:val="000000"/>
          <w:sz w:val="22"/>
        </w:rPr>
        <w:t xml:space="preserve">Recommendations made by the medical cannabidiol board pursuant to Iowa Code section </w:t>
      </w:r>
      <w:hyperlink r:id="rId46">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relating to the addition or removal of allowable debilitating medical conditions for which the medical use of cannabidiol would be medically beneficial or to the amendment of the form and quantity of allowable medical uses of cannabidiol shall be made to the board of medicine for consideration. The medical cannabidiol board shall submit a written recommendation, a copy of the petition and all other information received during consideration of the petition. The board of medicine shall consider the information received from the medical cannabidiol board and may seek information from other sources if it is deemed relevant by the board of medicine. The decision regarding a recommendation by the medical cannabidiol board is at the sole discretion of the board of medicine. The board of medicine shall make its decision within 180 days of receipt of the recommendation from the medical cannabidiol board. If the recommendation is approved by the board of medicine, it shall be adopted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655.13(4)</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 physician shall not share office space with, accept referrals from, or have any financial relationship with a medical cannabidiol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655.13(5)</w:t>
      </w:r>
      <w:r>
        <w:rPr>
          <w:rFonts w:ascii="Times New Roman" w:hAnsi="Times New Roman"/>
          <w:b w:val="false"/>
          <w:i w:val="false"/>
          <w:color w:val="000000"/>
          <w:sz w:val="22"/>
        </w:rPr>
        <w:t> </w:t>
      </w:r>
      <w:r>
        <w:rPr>
          <w:rFonts w:ascii="Times New Roman" w:hAnsi="Times New Roman"/>
          <w:b w:val="false"/>
          <w:i/>
          <w:color w:val="000000"/>
          <w:sz w:val="22"/>
        </w:rPr>
        <w:t xml:space="preserve">Criminal prosecution. </w:t>
      </w:r>
      <w:r>
        <w:rPr>
          <w:rFonts w:ascii="Times New Roman" w:hAnsi="Times New Roman"/>
          <w:b w:val="false"/>
          <w:i w:val="false"/>
          <w:color w:val="000000"/>
          <w:sz w:val="22"/>
        </w:rPr>
        <w:t xml:space="preserve">A physician, including any authorized agent or employee thereof, shall not be subject to prosecution for the unlawful certification, possession, or administration of marijuana under the laws of this state for activities arising directly out of or directly related to the certification or use of medical cannabidiol in the treatment of a patient diagnosed with a debilitating medical condition as authorized by Iowa Code chapter </w:t>
      </w:r>
      <w:hyperlink r:id="rId4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655.13(6)</w:t>
      </w:r>
      <w:r>
        <w:rPr>
          <w:rFonts w:ascii="Times New Roman" w:hAnsi="Times New Roman"/>
          <w:b w:val="false"/>
          <w:i w:val="false"/>
          <w:color w:val="000000"/>
          <w:sz w:val="22"/>
        </w:rPr>
        <w:t> </w:t>
      </w:r>
      <w:r>
        <w:rPr>
          <w:rFonts w:ascii="Times New Roman" w:hAnsi="Times New Roman"/>
          <w:b w:val="false"/>
          <w:i/>
          <w:color w:val="000000"/>
          <w:sz w:val="22"/>
        </w:rPr>
        <w:t xml:space="preserve">Civil or disciplinary penalties. </w:t>
      </w:r>
      <w:r>
        <w:rPr>
          <w:rFonts w:ascii="Times New Roman" w:hAnsi="Times New Roman"/>
          <w:b w:val="false"/>
          <w:i w:val="false"/>
          <w:color w:val="000000"/>
          <w:sz w:val="22"/>
        </w:rPr>
        <w:t xml:space="preserve">A physician, including any authorized agent or employee thereof, shall not be subject to any civil or disciplinary penalties by the board of medicine or any business, occupational, or professional licensing board or entity, solely for activities conducted relating to a patient’s possession or use of medical cannabidiol as authorized by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Nothing in this rule prevents the board of medicine from taking action in response to violations of any other sections of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9">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written certification without establishing a patient-physician relationship, including examining and treating the individual, or without being the individual’s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provides a patient a written certification without determining, in the physician’s medical judgment, that the patient suffers from a debilitating medical condition that qualifies for the use of medical cannabidiol pursuant to Iowa Code chapter </w:t>
      </w:r>
      <w:hyperlink r:id="rId5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 patient a written certification without providing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new written certification without determining, on an annual basis, that the patient continues to suffer from a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physician shares office space with, accepts referrals from, or has a financial relationship with a medical cannabidiol manufacturer or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481—655.14</w:t>
      </w:r>
      <w:r>
        <w:rPr>
          <w:rFonts w:ascii="Times New Roman" w:hAnsi="Times New Roman"/>
          <w:b/>
          <w:i w:val="false"/>
          <w:color w:val="000000"/>
          <w:sz w:val="22"/>
        </w:rPr>
        <w:t xml:space="preserve">(146A) </w:t>
      </w:r>
      <w:r>
        <w:rPr>
          <w:rFonts w:ascii="Times New Roman" w:hAnsi="Times New Roman"/>
          <w:b/>
          <w:i w:val="false"/>
          <w:color w:val="000000"/>
          <w:sz w:val="22"/>
        </w:rPr>
        <w:t xml:space="preserve">Abortion prerequisites.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655.14(1)</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At least 24 hours prior to performing an abortion, a physician shall obtain written certification from the pregnant woman of each prerequisite as required in Iowa Code sections </w:t>
      </w:r>
      <w:hyperlink r:id="rId51">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(1). The written certification shall list each required prerequisite separately and shall include a line for date and signature of the pregnant woman. The physician shall maintain a copy of the certification as part of the pregnant woman’s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This rule shall not apply to abortions performed in a medical emergency, as provided in Iowa Code section </w:t>
      </w:r>
      <w:hyperlink r:id="rId53">
        <w:r>
          <w:rPr>
            <w:rStyle w:val="Hyperlink"/>
            <w:rFonts w:ascii="Times New Roman" w:hAnsi="Times New Roman"/>
            <w:b w:val="false"/>
            <w:i w:val="false"/>
            <w:color w:val="000000"/>
            <w:sz w:val="22"/>
          </w:rPr>
          <w:t>146A.1(2)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655.14(3)</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section </w:t>
      </w:r>
      <w:hyperlink r:id="rId54">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481—655.15</w:t>
      </w:r>
      <w:r>
        <w:rPr>
          <w:rFonts w:ascii="Times New Roman" w:hAnsi="Times New Roman"/>
          <w:b/>
          <w:i w:val="false"/>
          <w:color w:val="000000"/>
          <w:sz w:val="22"/>
        </w:rPr>
        <w:t xml:space="preserve">(135L,146A,146E,147,148,272C) </w:t>
      </w:r>
      <w:r>
        <w:rPr>
          <w:rFonts w:ascii="Times New Roman" w:hAnsi="Times New Roman"/>
          <w:b/>
          <w:i w:val="false"/>
          <w:color w:val="000000"/>
          <w:sz w:val="22"/>
        </w:rPr>
        <w:t xml:space="preserve">Standards of practice for physicians who perform or induce abortions—definitions—detection of fetal heartbeat—fetal heartbeat exceptions—discipline.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 xml:space="preserve">This rule sets forth the standards of practice for physicians who perform or induce abortions. More information is contained in Iowa Code section </w:t>
      </w:r>
      <w:hyperlink r:id="rId55">
        <w:r>
          <w:rPr>
            <w:rStyle w:val="Hyperlink"/>
            <w:rFonts w:ascii="Times New Roman" w:hAnsi="Times New Roman"/>
            <w:b w:val="false"/>
            <w:i w:val="false"/>
            <w:color w:val="000000"/>
            <w:sz w:val="22"/>
          </w:rPr>
          <w:t>146E.2(5)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this rule or in Iowa Code chapter </w:t>
      </w:r>
      <w:hyperlink r:id="rId56">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health agency”</w:t>
      </w:r>
      <w:r>
        <w:rPr>
          <w:rFonts w:ascii="Times New Roman" w:hAnsi="Times New Roman"/>
          <w:b w:val="false"/>
          <w:i w:val="false"/>
          <w:color w:val="000000"/>
          <w:sz w:val="22"/>
        </w:rPr>
        <w:t> </w:t>
      </w:r>
      <w:r>
        <w:rPr>
          <w:rFonts w:ascii="Times New Roman" w:hAnsi="Times New Roman"/>
          <w:b w:val="false"/>
          <w:i w:val="false"/>
          <w:color w:val="000000"/>
          <w:sz w:val="22"/>
        </w:rPr>
        <w:t>means any establishment, facility, organization, or other entity that is not owned by a federal, state, or local government that either is a health care provider or employs or provides the services of a health care provider. Establishments, facilities, organizations,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5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5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59">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agency”</w:t>
      </w:r>
      <w:r>
        <w:rPr>
          <w:rFonts w:ascii="Times New Roman" w:hAnsi="Times New Roman"/>
          <w:b w:val="false"/>
          <w:i w:val="false"/>
          <w:color w:val="000000"/>
          <w:sz w:val="22"/>
        </w:rPr>
        <w:t> </w:t>
      </w:r>
      <w:r>
        <w:rPr>
          <w:rFonts w:ascii="Times New Roman" w:hAnsi="Times New Roman"/>
          <w:b w:val="false"/>
          <w:i w:val="false"/>
          <w:color w:val="000000"/>
          <w:sz w:val="22"/>
        </w:rPr>
        <w:t>means any establishment; facility; organization; administrative division; or entity that is owned by a federal, state, or local government that either is a health care provider or employs or provides the services of a health care provider. Establishments, facilities, organizations, administrative divisions,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6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61">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62">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medical practice”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degree of skill, care, and diligence that a physician of the same medical specialty would employ in like circumstances. As applied to the method used to determine the presence of a fetal heartbeat for purposes of Iowa Code chapter </w:t>
      </w:r>
      <w:hyperlink r:id="rId6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 “standard medical practice” includes employing the appropriate means of detection depending on the estimated gestational age of the unborn child and the condition of the woman and her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pregnancy is the result of a rape”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circumstance in which the pregnancy is the result of conduct that would constitute an offense under Iowa Code section </w:t>
      </w:r>
      <w:hyperlink r:id="rId64">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709.4A</w:t>
        </w:r>
      </w:hyperlink>
      <w:r>
        <w:rPr>
          <w:rFonts w:ascii="Times New Roman" w:hAnsi="Times New Roman"/>
          <w:b w:val="false"/>
          <w:i w:val="false"/>
          <w:color w:val="000000"/>
          <w:sz w:val="22"/>
        </w:rPr>
        <w:t xml:space="preserve"> when perpetrated against a female, regardless of where the conduct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pregnancy is the result of incest”</w:t>
      </w:r>
      <w:r>
        <w:rPr>
          <w:rFonts w:ascii="Times New Roman" w:hAnsi="Times New Roman"/>
          <w:b w:val="false"/>
          <w:i w:val="false"/>
          <w:color w:val="000000"/>
          <w:sz w:val="22"/>
        </w:rPr>
        <w:t> </w:t>
      </w:r>
      <w:r>
        <w:rPr>
          <w:rFonts w:ascii="Times New Roman" w:hAnsi="Times New Roman"/>
          <w:b w:val="false"/>
          <w:i w:val="false"/>
          <w:color w:val="000000"/>
          <w:sz w:val="22"/>
        </w:rPr>
        <w:t>means a circumstance in which a sex act occurs between closely related persons that involves a vaginal penetration that causes a pregnancy. The closely related persons must be related, either legitimately or illegitimately, as an ancestor, descendant, brother or sister of the whole or half blood, aunt, uncle, niece, or nephew. For purposes of this rule, a closely related person includes a stepparent, stepchild, or stepsibling, including siblings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“Unborn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to live birth—that is, at all stages of development, including embryo and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“Woman”</w:t>
      </w:r>
      <w:r>
        <w:rPr>
          <w:rFonts w:ascii="Times New Roman" w:hAnsi="Times New Roman"/>
          <w:b w:val="false"/>
          <w:i w:val="false"/>
          <w:color w:val="000000"/>
          <w:sz w:val="22"/>
        </w:rPr>
        <w:t> </w:t>
      </w:r>
      <w:r>
        <w:rPr>
          <w:rFonts w:ascii="Times New Roman" w:hAnsi="Times New Roman"/>
          <w:b w:val="false"/>
          <w:i w:val="false"/>
          <w:color w:val="000000"/>
          <w:sz w:val="22"/>
        </w:rPr>
        <w:t>means a female individual regardless of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655.15(3)</w:t>
      </w:r>
      <w:r>
        <w:rPr>
          <w:rFonts w:ascii="Times New Roman" w:hAnsi="Times New Roman"/>
          <w:b w:val="false"/>
          <w:i w:val="false"/>
          <w:color w:val="000000"/>
          <w:sz w:val="22"/>
        </w:rPr>
        <w:t> </w:t>
      </w:r>
      <w:r>
        <w:rPr>
          <w:rFonts w:ascii="Times New Roman" w:hAnsi="Times New Roman"/>
          <w:b w:val="false"/>
          <w:i/>
          <w:color w:val="000000"/>
          <w:sz w:val="22"/>
        </w:rPr>
        <w:t xml:space="preserve">Detection of fetal heartbeat. </w:t>
      </w:r>
      <w:r>
        <w:rPr>
          <w:rFonts w:ascii="Times New Roman" w:hAnsi="Times New Roman"/>
          <w:b w:val="false"/>
          <w:i w:val="false"/>
          <w:color w:val="000000"/>
          <w:sz w:val="22"/>
        </w:rPr>
        <w:t>A physician who intends to perform or induce an abortion must determine via ultrasound whether the woman is carrying an unborn child with a detectable fetal heartbeat.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The obligation under this rule requires a bona fide effort to detect a fetal heartbeat in the unborn child. This effort must be made in good faith and according to standard medical practice and reasonable medical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physician shall perform a transabdominal pelvic ultrasound on the woman to determine whether the unborn child has a detectable fetal heartbeat. This shall be performed in a manner consistent with standard medical practice, with real-time ultrasound equipment with a transducer of appropriate frequency. The equipment must be properly maintained and in proper functioning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655.15(4)</w:t>
      </w:r>
      <w:r>
        <w:rPr>
          <w:rFonts w:ascii="Times New Roman" w:hAnsi="Times New Roman"/>
          <w:b w:val="false"/>
          <w:i w:val="false"/>
          <w:color w:val="000000"/>
          <w:sz w:val="22"/>
        </w:rPr>
        <w:t> </w:t>
      </w:r>
      <w:r>
        <w:rPr>
          <w:rFonts w:ascii="Times New Roman" w:hAnsi="Times New Roman"/>
          <w:b w:val="false"/>
          <w:i/>
          <w:color w:val="000000"/>
          <w:sz w:val="22"/>
        </w:rPr>
        <w:t xml:space="preserve">Fetal heartbeat exceptions. </w:t>
      </w:r>
      <w:r>
        <w:rPr>
          <w:rFonts w:ascii="Times New Roman" w:hAnsi="Times New Roman"/>
          <w:b w:val="false"/>
          <w:i w:val="false"/>
          <w:color w:val="000000"/>
          <w:sz w:val="22"/>
        </w:rPr>
        <w:t xml:space="preserve">The following applies to a physician who intends to perform or induce an abortion under a fetal heartbeat exception as defined in Iowa Code chapter </w:t>
      </w:r>
      <w:hyperlink r:id="rId68">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Incest or rape. </w:t>
      </w:r>
      <w:r>
        <w:rPr>
          <w:rFonts w:ascii="Times New Roman" w:hAnsi="Times New Roman"/>
          <w:b w:val="false"/>
          <w:i w:val="false"/>
          <w:color w:val="000000"/>
          <w:sz w:val="22"/>
        </w:rPr>
        <w:t>For purposes of this rule, a pregnancy resulting from incest or rape may be reported within the appropriate time frame to a licensed physician whose services are retained for an abortion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incest,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sex act occurred between the woman and a closely related person, meaning, either legitimately or illegitimately, an ancestor, descendant, brother or sister of the whole or half blood, aunt, uncle, niece, or nephew, including a stepparent, stepchild, or stepsibling to include an adopted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act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incest applies. This information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a rape,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sex act that caused the pregnancy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 of the woman seeking an abortion at the time of that sex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sex act constituted a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rape was perpetrated against the woman seeking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rape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rape applies. This rule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Fetal abnormality. </w:t>
      </w:r>
      <w:r>
        <w:rPr>
          <w:rFonts w:ascii="Times New Roman" w:hAnsi="Times New Roman"/>
          <w:b w:val="false"/>
          <w:i w:val="false"/>
          <w:color w:val="000000"/>
          <w:sz w:val="22"/>
        </w:rPr>
        <w:t>A certification from an attending physician that a fetus has a fetal abnormality that in the attending physician’s reasonable medical judgment is incompatible with life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diagnosis of the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for the diagnosis, including the tests and procedures performed, the results of those tests and procedures, and why those results support the 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why the abnormality is incompatible with life.</w:t>
      </w:r>
    </w:p>
    <w:p>
      <w:pPr>
        <w:spacing w:before="0" w:after="0"/>
        <w:ind w:left="120"/>
        <w:jc w:val="both"/>
      </w:pPr>
      <w:r>
        <w:rPr>
          <w:rFonts w:ascii="Times New Roman" w:hAnsi="Times New Roman"/>
          <w:b w:val="false"/>
          <w:i w:val="false"/>
          <w:color w:val="000000"/>
          <w:sz w:val="22"/>
        </w:rPr>
        <w:t>The diagnosis and the attending physician’s conclusion must be reached in good faith following a bona fide effort, consistent with standard medical practice and reasonable medical judgment, to determine the health of the fetus. The certification must be signed by the attending physician. A physician who intends to perform or induce an abortion may rely in good faith on a certification from an attending physician if the physician who intends to perform or induce an abortion has a copy of the certification. The certification must be included in the woman’s medical records by the physician who intends to perform or induce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655.15(5)</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chapter </w:t>
      </w:r>
      <w:hyperlink r:id="rId69">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481—655.16</w:t>
      </w:r>
      <w:r>
        <w:rPr>
          <w:rFonts w:ascii="Times New Roman" w:hAnsi="Times New Roman"/>
          <w:b/>
          <w:i w:val="false"/>
          <w:color w:val="000000"/>
          <w:sz w:val="22"/>
        </w:rPr>
        <w:t xml:space="preserve">(147,148) </w:t>
      </w:r>
      <w:r>
        <w:rPr>
          <w:rFonts w:ascii="Times New Roman" w:hAnsi="Times New Roman"/>
          <w:b/>
          <w:i w:val="false"/>
          <w:color w:val="000000"/>
          <w:sz w:val="22"/>
        </w:rPr>
        <w:t xml:space="preserve">Principles of medical ethics. </w:t>
      </w:r>
      <w:r>
        <w:rPr>
          <w:rFonts w:ascii="Times New Roman" w:hAnsi="Times New Roman"/>
          <w:b w:val="false"/>
          <w:i w:val="false"/>
          <w:color w:val="000000"/>
          <w:sz w:val="22"/>
        </w:rPr>
        <w:t>The Code of Medical Ethics (2002-2003) prepared and approved by the American Medical Association and the Code of Ethics (2002-2003) prepared and approved by the American Osteopathic Association is utilized by the board as guiding principles in the practice of medicine and surgery and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physician should not provide medical services under terms or conditions that tend to interfere with or impair the free and complete exercise of the physician’s medical judgment and skill or tend to cause a deterioration of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Any fee charged by a physician shall be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481—655.17</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medical care provider. </w:t>
      </w:r>
      <w:r>
        <w:rPr>
          <w:rFonts w:ascii="Times New Roman" w:hAnsi="Times New Roman"/>
          <w:b w:val="false"/>
          <w:i w:val="false"/>
          <w:color w:val="000000"/>
          <w:sz w:val="22"/>
        </w:rPr>
        <w:t>A physician with a license in good standing may be staffed on an authorized emergency medical services (EMS) program provided the physician can document equivalency through education and additional skills training essential in the delivery of out-of-hospital emergency care. The equivalency shall be accepted when documentation has been reviewed and approved at the local level by the medical director of the authorized EMS service program and the department of health and human services bureau of emergency medical and trauma services in accordance with the form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144E</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7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3/22/96, Notice 9/27/95—published 4/10/96, effective 6/15/96]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11/22/96, Notice 8/28/96—published 12/18/96, effective 1/22/97]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11/7/00, Notice 4/19/00—published 11/29/00, effective 1/3/01]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2/16/01, Notice 12/27/00—published 3/7/01, effective 4/11/01]</w:t>
      </w:r>
    </w:p>
    <w:p>
      <w:pPr>
        <w:spacing w:before="0" w:after="0"/>
        <w:ind w:left="120"/>
        <w:jc w:val="center"/>
      </w:pPr>
      <w:r>
        <w:rPr>
          <w:rFonts w:ascii="Times New Roman" w:hAnsi="Times New Roman"/>
          <w:b w:val="false"/>
          <w:i w:val="false"/>
          <w:color w:val="000000"/>
          <w:sz w:val="21"/>
        </w:rPr>
        <w:t>[Filed emergency 8/31/01 after Notice 7/25/01—published 9/19/01, effective 8/31/01]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12/4/03, Notice 8/20/03—published 12/24/03, effective 1/28/04]</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5/3/06, Notice 2/15/06—published 5/24/06, effective 10/1/06]</w:t>
      </w:r>
    </w:p>
    <w:p>
      <w:pPr>
        <w:spacing w:before="0" w:after="0"/>
        <w:ind w:left="120"/>
        <w:jc w:val="center"/>
      </w:pPr>
      <w:r>
        <w:rPr>
          <w:rFonts w:ascii="Times New Roman" w:hAnsi="Times New Roman"/>
          <w:b w:val="false"/>
          <w:i w:val="false"/>
          <w:color w:val="000000"/>
          <w:sz w:val="21"/>
        </w:rPr>
        <w:t>[Filed 6/28/07, Notice 5/9/07—published 8/1/07, effective 9/5/07]</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8918B</w:t>
      </w:r>
      <w:r>
        <w:rPr>
          <w:rFonts w:ascii="Times New Roman" w:hAnsi="Times New Roman"/>
          <w:b w:val="false"/>
          <w:i w:val="false"/>
          <w:color w:val="000000"/>
          <w:sz w:val="21"/>
        </w:rPr>
        <w:t xml:space="preserve"> (Notice ARC 8579B, IAB 3/10/10)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9599B</w:t>
      </w:r>
      <w:r>
        <w:rPr>
          <w:rFonts w:ascii="Times New Roman" w:hAnsi="Times New Roman"/>
          <w:b w:val="false"/>
          <w:i w:val="false"/>
          <w:color w:val="000000"/>
          <w:sz w:val="21"/>
        </w:rPr>
        <w:t xml:space="preserve"> (Notice ARC 9414B,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1033C</w:t>
      </w:r>
      <w:r>
        <w:rPr>
          <w:rFonts w:ascii="Times New Roman" w:hAnsi="Times New Roman"/>
          <w:b w:val="false"/>
          <w:i w:val="false"/>
          <w:color w:val="000000"/>
          <w:sz w:val="21"/>
        </w:rPr>
        <w:t xml:space="preserve"> (Notice ARC 0890C,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1034C</w:t>
      </w:r>
      <w:r>
        <w:rPr>
          <w:rFonts w:ascii="Times New Roman" w:hAnsi="Times New Roman"/>
          <w:b w:val="false"/>
          <w:i w:val="false"/>
          <w:color w:val="000000"/>
          <w:sz w:val="21"/>
        </w:rPr>
        <w:t xml:space="preserve"> (Notice ARC 0891C,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1983C</w:t>
      </w:r>
      <w:r>
        <w:rPr>
          <w:rFonts w:ascii="Times New Roman" w:hAnsi="Times New Roman"/>
          <w:b w:val="false"/>
          <w:i w:val="false"/>
          <w:color w:val="000000"/>
          <w:sz w:val="21"/>
        </w:rPr>
        <w:t xml:space="preserve"> (Notice ARC 1769C,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2387C</w:t>
      </w:r>
      <w:r>
        <w:rPr>
          <w:rFonts w:ascii="Times New Roman" w:hAnsi="Times New Roman"/>
          <w:b w:val="false"/>
          <w:i w:val="false"/>
          <w:color w:val="000000"/>
          <w:sz w:val="21"/>
        </w:rPr>
        <w:t xml:space="preserve"> (Notice ARC 2249C,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2705C</w:t>
      </w:r>
      <w:r>
        <w:rPr>
          <w:rFonts w:ascii="Times New Roman" w:hAnsi="Times New Roman"/>
          <w:b w:val="false"/>
          <w:i w:val="false"/>
          <w:color w:val="000000"/>
          <w:sz w:val="21"/>
        </w:rPr>
        <w:t xml:space="preserve"> (Notice ARC 2535C, IAB 5/11/16)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3588C</w:t>
      </w:r>
      <w:r>
        <w:rPr>
          <w:rFonts w:ascii="Times New Roman" w:hAnsi="Times New Roman"/>
          <w:b w:val="false"/>
          <w:i w:val="false"/>
          <w:color w:val="000000"/>
          <w:sz w:val="21"/>
        </w:rPr>
        <w:t xml:space="preserve"> (Notice ARC 3360C, IAB 10/11/17)</w:t>
      </w:r>
      <w:r>
        <w:rPr>
          <w:rFonts w:ascii="Times New Roman" w:hAnsi="Times New Roman"/>
          <w:b w:val="false"/>
          <w:i w:val="false"/>
          <w:color w:val="000000"/>
          <w:sz w:val="21"/>
        </w:rPr>
        <w:t>, IAB 1/17/18, effective 2/21/18]</w:t>
      </w:r>
      <w:r>
        <w:br/>
      </w:r>
      <w:r>
        <w:rPr>
          <w:rFonts w:ascii="Times New Roman" w:hAnsi="Times New Roman"/>
          <w:b w:val="false"/>
          <w:i w:val="false"/>
          <w:color w:val="000000"/>
          <w:sz w:val="21"/>
        </w:rPr>
        <w:t>[Filed ARC 3589C</w:t>
      </w:r>
      <w:r>
        <w:rPr>
          <w:rFonts w:ascii="Times New Roman" w:hAnsi="Times New Roman"/>
          <w:b w:val="false"/>
          <w:i w:val="false"/>
          <w:color w:val="000000"/>
          <w:sz w:val="21"/>
        </w:rPr>
        <w:t xml:space="preserve"> (Notice ARC 3361C,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3830C</w:t>
      </w:r>
      <w:r>
        <w:rPr>
          <w:rFonts w:ascii="Times New Roman" w:hAnsi="Times New Roman"/>
          <w:b w:val="false"/>
          <w:i w:val="false"/>
          <w:color w:val="000000"/>
          <w:sz w:val="21"/>
        </w:rPr>
        <w:t xml:space="preserve"> (Notice ARC 3675C, IAB 3/14/18)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4247C</w:t>
      </w:r>
      <w:r>
        <w:rPr>
          <w:rFonts w:ascii="Times New Roman" w:hAnsi="Times New Roman"/>
          <w:b w:val="false"/>
          <w:i w:val="false"/>
          <w:color w:val="000000"/>
          <w:sz w:val="21"/>
        </w:rPr>
        <w:t xml:space="preserve"> (Notice ARC 4093C, IAB 10/24/18)</w:t>
      </w:r>
      <w:r>
        <w:rPr>
          <w:rFonts w:ascii="Times New Roman" w:hAnsi="Times New Roman"/>
          <w:b w:val="false"/>
          <w:i w:val="false"/>
          <w:color w:val="000000"/>
          <w:sz w:val="21"/>
        </w:rPr>
        <w:t>, IAB 1/16/19, effective 2/20/19]</w:t>
      </w:r>
      <w:r>
        <w:br/>
      </w:r>
      <w:r>
        <w:rPr>
          <w:rFonts w:ascii="Times New Roman" w:hAnsi="Times New Roman"/>
          <w:b w:val="false"/>
          <w:i w:val="false"/>
          <w:color w:val="000000"/>
          <w:sz w:val="21"/>
        </w:rPr>
        <w:t>[Filed ARC 4248C</w:t>
      </w:r>
      <w:r>
        <w:rPr>
          <w:rFonts w:ascii="Times New Roman" w:hAnsi="Times New Roman"/>
          <w:b w:val="false"/>
          <w:i w:val="false"/>
          <w:color w:val="000000"/>
          <w:sz w:val="21"/>
        </w:rPr>
        <w:t xml:space="preserve"> (Notice ARC 4082C,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4377C</w:t>
      </w:r>
      <w:r>
        <w:rPr>
          <w:rFonts w:ascii="Times New Roman" w:hAnsi="Times New Roman"/>
          <w:b w:val="false"/>
          <w:i w:val="false"/>
          <w:color w:val="000000"/>
          <w:sz w:val="21"/>
        </w:rPr>
        <w:t xml:space="preserve"> (Notice ARC 4241C,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4658C</w:t>
      </w:r>
      <w:r>
        <w:rPr>
          <w:rFonts w:ascii="Times New Roman" w:hAnsi="Times New Roman"/>
          <w:b w:val="false"/>
          <w:i w:val="false"/>
          <w:color w:val="000000"/>
          <w:sz w:val="21"/>
        </w:rPr>
        <w:t xml:space="preserve"> (Notice ARC 4445C, IAB 5/22/19)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4714C</w:t>
      </w:r>
      <w:r>
        <w:rPr>
          <w:rFonts w:ascii="Times New Roman" w:hAnsi="Times New Roman"/>
          <w:b w:val="false"/>
          <w:i w:val="false"/>
          <w:color w:val="000000"/>
          <w:sz w:val="21"/>
        </w:rPr>
        <w:t xml:space="preserve"> (Notice ARC 4382C, IAB 4/10/19)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5861C</w:t>
      </w:r>
      <w:r>
        <w:rPr>
          <w:rFonts w:ascii="Times New Roman" w:hAnsi="Times New Roman"/>
          <w:b w:val="false"/>
          <w:i w:val="false"/>
          <w:color w:val="000000"/>
          <w:sz w:val="21"/>
        </w:rPr>
        <w:t xml:space="preserve"> (Notice ARC 5668C,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6442C</w:t>
      </w:r>
      <w:r>
        <w:rPr>
          <w:rFonts w:ascii="Times New Roman" w:hAnsi="Times New Roman"/>
          <w:b w:val="false"/>
          <w:i w:val="false"/>
          <w:color w:val="000000"/>
          <w:sz w:val="21"/>
        </w:rPr>
        <w:t xml:space="preserve"> (Notice ARC 6284C, IAB 4/6/22)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6683C</w:t>
      </w:r>
      <w:r>
        <w:rPr>
          <w:rFonts w:ascii="Times New Roman" w:hAnsi="Times New Roman"/>
          <w:b w:val="false"/>
          <w:i w:val="false"/>
          <w:color w:val="000000"/>
          <w:sz w:val="21"/>
        </w:rPr>
        <w:t xml:space="preserve"> (Notice ARC 6381C, IAB 6/29/22)</w:t>
      </w:r>
      <w:r>
        <w:rPr>
          <w:rFonts w:ascii="Times New Roman" w:hAnsi="Times New Roman"/>
          <w:b w:val="false"/>
          <w:i w:val="false"/>
          <w:color w:val="000000"/>
          <w:sz w:val="21"/>
        </w:rPr>
        <w:t>, IAB 11/30/22, effective 1/4/23]</w:t>
      </w:r>
      <w:r>
        <w:br/>
      </w:r>
      <w:r>
        <w:rPr>
          <w:rFonts w:ascii="Times New Roman" w:hAnsi="Times New Roman"/>
          <w:b w:val="false"/>
          <w:i w:val="false"/>
          <w:color w:val="000000"/>
          <w:sz w:val="21"/>
        </w:rPr>
        <w:t>[Filed ARC 6684C</w:t>
      </w:r>
      <w:r>
        <w:rPr>
          <w:rFonts w:ascii="Times New Roman" w:hAnsi="Times New Roman"/>
          <w:b w:val="false"/>
          <w:i w:val="false"/>
          <w:color w:val="000000"/>
          <w:sz w:val="21"/>
        </w:rPr>
        <w:t xml:space="preserve"> (Notice ARC 6461C, IAB 8/10/22)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6941C</w:t>
      </w:r>
      <w:r>
        <w:rPr>
          <w:rFonts w:ascii="Times New Roman" w:hAnsi="Times New Roman"/>
          <w:b w:val="false"/>
          <w:i w:val="false"/>
          <w:color w:val="000000"/>
          <w:sz w:val="21"/>
        </w:rPr>
        <w:t xml:space="preserve"> (Notice ARC 6694C,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7720C</w:t>
      </w:r>
      <w:r>
        <w:rPr>
          <w:rFonts w:ascii="Times New Roman" w:hAnsi="Times New Roman"/>
          <w:b w:val="false"/>
          <w:i w:val="false"/>
          <w:color w:val="000000"/>
          <w:sz w:val="21"/>
        </w:rPr>
        <w:t xml:space="preserve"> (Notice ARC 7170C,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9115C</w:t>
      </w:r>
      <w:r>
        <w:rPr>
          <w:rFonts w:ascii="Times New Roman" w:hAnsi="Times New Roman"/>
          <w:b w:val="false"/>
          <w:i w:val="false"/>
          <w:color w:val="000000"/>
          <w:sz w:val="21"/>
        </w:rPr>
        <w:t xml:space="preserve"> (Notice ARC 8701C,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13.2(148,272C) delayed 70 days by the Administrative Rules Review Committee at its meeting held May 14, 1996.</w:t>
      </w:r>
    </w:p>
    <w:sectPr>
      <w:footerReference r:id="rId8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55.1.pdf" Type="http://schemas.openxmlformats.org/officeDocument/2006/relationships/hyperlink" Id="rId5"/>
    <Relationship TargetMode="External" Target="https://www.legis.iowa.gov/docs/iac/rule/653.655.1.pdf" Type="http://schemas.openxmlformats.org/officeDocument/2006/relationships/hyperlink" Id="rId6"/>
    <Relationship TargetMode="External" Target="https://www.legis.iowa.gov/docs/ico/chapter/124.551.pdf" Type="http://schemas.openxmlformats.org/officeDocument/2006/relationships/hyperlink" Id="rId7"/>
    <Relationship TargetMode="External" Target="https://www.legis.iowa.gov/docs/ico/chapter/124.558.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ac/rule/653.655.2.pdf" Type="http://schemas.openxmlformats.org/officeDocument/2006/relationships/hyperlink" Id="rId10"/>
    <Relationship TargetMode="External" Target="https://www.legis.iowa.gov/docs/iac/chapter/481.661.pdf" Type="http://schemas.openxmlformats.org/officeDocument/2006/relationships/hyperlink" Id="rId11"/>
    <Relationship TargetMode="External" Target="https://www.legis.iowa.gov/docs/ico/chapter/124.553.pdf" Type="http://schemas.openxmlformats.org/officeDocument/2006/relationships/hyperlink" Id="rId12"/>
    <Relationship TargetMode="External" Target="https://www.legis.iowa.gov/docs/ico/chapter/124.553.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124.553.pdf" Type="http://schemas.openxmlformats.org/officeDocument/2006/relationships/hyperlink" Id="rId15"/>
    <Relationship TargetMode="External" Target="https://www.legis.iowa.gov/docs/ico/chapter/124.553.pdf" Type="http://schemas.openxmlformats.org/officeDocument/2006/relationships/hyperlink" Id="rId16"/>
    <Relationship TargetMode="External" Target="https://www.legis.iowa.gov/docs/ico/chapter/614.8.pdf" Type="http://schemas.openxmlformats.org/officeDocument/2006/relationships/hyperlink" Id="rId17"/>
    <Relationship TargetMode="External" Target="https://www.legis.iowa.gov/docs/iac/chapter/481.780.pdf" Type="http://schemas.openxmlformats.org/officeDocument/2006/relationships/hyperlink" Id="rId18"/>
    <Relationship TargetMode="External" Target="https://www.legis.iowa.gov/docs/iac/chapter/481.781.pdf" Type="http://schemas.openxmlformats.org/officeDocument/2006/relationships/hyperlink" Id="rId19"/>
    <Relationship TargetMode="External" Target="https://www.legis.iowa.gov/docs/iac/chapter/655.7.pdf" Type="http://schemas.openxmlformats.org/officeDocument/2006/relationships/hyperlink" Id="rId20"/>
    <Relationship TargetMode="External" Target="https://www.legis.iowa.gov/docs/iac/rule/481.655.9.pdf" Type="http://schemas.openxmlformats.org/officeDocument/2006/relationships/hyperlink" Id="rId21"/>
    <Relationship TargetMode="External" Target="https://www.legis.iowa.gov/docs/ico/chapter/135L.pdf" Type="http://schemas.openxmlformats.org/officeDocument/2006/relationships/hyperlink" Id="rId22"/>
    <Relationship TargetMode="External" Target="https://www.legis.iowa.gov/docs/iac/rule/641.89.12.pdf" Type="http://schemas.openxmlformats.org/officeDocument/2006/relationships/hyperlink" Id="rId23"/>
    <Relationship TargetMode="External" Target="https://www.legis.iowa.gov/docs/iac/rule/641.89.21.pdf" Type="http://schemas.openxmlformats.org/officeDocument/2006/relationships/hyperlink" Id="rId24"/>
    <Relationship TargetMode="External" Target="https://www.legis.iowa.gov/docs/iac/rule/481.652.2.pdf" Type="http://schemas.openxmlformats.org/officeDocument/2006/relationships/hyperlink" Id="rId25"/>
    <Relationship TargetMode="External" Target="https://www.legis.iowa.gov/docs/iac/rule/653.655.9.pdf" Type="http://schemas.openxmlformats.org/officeDocument/2006/relationships/hyperlink" Id="rId26"/>
    <Relationship TargetMode="External" Target="https://www.legis.iowa.gov/docs/ico/chapter/135.185.pdf" Type="http://schemas.openxmlformats.org/officeDocument/2006/relationships/hyperlink" Id="rId27"/>
    <Relationship TargetMode="External" Target="https://www.legis.iowa.gov/docs/ico/chapter/135.185.pdf" Type="http://schemas.openxmlformats.org/officeDocument/2006/relationships/hyperlink" Id="rId28"/>
    <Relationship TargetMode="External" Target="https://www.legis.iowa.gov/docs/ico/chapter/135.190.pdf" Type="http://schemas.openxmlformats.org/officeDocument/2006/relationships/hyperlink" Id="rId29"/>
    <Relationship TargetMode="External" Target="https://www.legis.iowa.gov/docs/ico/chapter/280.16.pdf" Type="http://schemas.openxmlformats.org/officeDocument/2006/relationships/hyperlink" Id="rId30"/>
    <Relationship TargetMode="External" Target="https://www.legis.iowa.gov/docs/ico/chapter/280.16A.pdf" Type="http://schemas.openxmlformats.org/officeDocument/2006/relationships/hyperlink" Id="rId31"/>
    <Relationship TargetMode="External" Target="https://www.legis.iowa.gov/docs/ico/chapter/135.185.pdf" Type="http://schemas.openxmlformats.org/officeDocument/2006/relationships/hyperlink" Id="rId32"/>
    <Relationship TargetMode="External" Target="https://www.legis.iowa.gov/docs/ico/chapter/135.19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co/chapter/280.16A.pdf" Type="http://schemas.openxmlformats.org/officeDocument/2006/relationships/hyperlink" Id="rId35"/>
    <Relationship TargetMode="External" Target="https://www.legis.iowa.gov/docs/ico/chapter/707A.2.pdf" Type="http://schemas.openxmlformats.org/officeDocument/2006/relationships/hyperlink" Id="rId36"/>
    <Relationship TargetMode="External" Target="https://www.legis.iowa.gov/docs/iac/chapter/481.661.pdf" Type="http://schemas.openxmlformats.org/officeDocument/2006/relationships/hyperlink" Id="rId37"/>
    <Relationship TargetMode="External" Target="https://www.legis.iowa.gov/docs/ico/chapter/707A.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ac/chapter/481.661.pdf" Type="http://schemas.openxmlformats.org/officeDocument/2006/relationships/hyperlink" Id="rId40"/>
    <Relationship TargetMode="External" Target="https://www.legis.iowa.gov/docs/ico/chapter/331.910.pdf" Type="http://schemas.openxmlformats.org/officeDocument/2006/relationships/hyperlink" Id="rId41"/>
    <Relationship TargetMode="External" Target="https://www.legis.iowa.gov/docs/ico/chapter/141A.1.pdf" Type="http://schemas.openxmlformats.org/officeDocument/2006/relationships/hyperlink" Id="rId42"/>
    <Relationship TargetMode="External" Target="https://www.legis.iowa.gov/docs/ico/chapter/124E.5.pdf" Type="http://schemas.openxmlformats.org/officeDocument/2006/relationships/hyperlink" Id="rId43"/>
    <Relationship TargetMode="External" Target="https://www.legis.iowa.gov/docs/ico/chapter/148.pdf" Type="http://schemas.openxmlformats.org/officeDocument/2006/relationships/hyperlink" Id="rId44"/>
    <Relationship TargetMode="External" Target="https://www.legis.iowa.gov/docs/ico/chapter/124E.pdf" Type="http://schemas.openxmlformats.org/officeDocument/2006/relationships/hyperlink" Id="rId45"/>
    <Relationship TargetMode="External" Target="https://www.legis.iowa.gov/docs/ico/chapter/124E.5.pdf" Type="http://schemas.openxmlformats.org/officeDocument/2006/relationships/hyperlink" Id="rId46"/>
    <Relationship TargetMode="External" Target="https://www.legis.iowa.gov/docs/ico/chapter/124E.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ac/chapter/481.661.pdf" Type="http://schemas.openxmlformats.org/officeDocument/2006/relationships/hyperlink" Id="rId49"/>
    <Relationship TargetMode="External" Target="https://www.legis.iowa.gov/docs/ico/chapter/124E.pdf" Type="http://schemas.openxmlformats.org/officeDocument/2006/relationships/hyperlink" Id="rId50"/>
    <Relationship TargetMode="External" Target="https://www.legis.iowa.gov/docs/ico/chapter/146A.1.pdf" Type="http://schemas.openxmlformats.org/officeDocument/2006/relationships/hyperlink" Id="rId51"/>
    <Relationship TargetMode="External" Target="https://www.legis.iowa.gov/docs/ico/chapter/146A.1.pdf" Type="http://schemas.openxmlformats.org/officeDocument/2006/relationships/hyperlink" Id="rId52"/>
    <Relationship TargetMode="External" Target="https://www.legis.iowa.gov/docs/ico/chapter/146A.1.pdf" Type="http://schemas.openxmlformats.org/officeDocument/2006/relationships/hyperlink" Id="rId53"/>
    <Relationship TargetMode="External" Target="https://www.legis.iowa.gov/docs/ico/chapter/146A.1.pdf" Type="http://schemas.openxmlformats.org/officeDocument/2006/relationships/hyperlink" Id="rId54"/>
    <Relationship TargetMode="External" Target="https://www.legis.iowa.gov/docs/ico/chapter/146E.2.pdf" Type="http://schemas.openxmlformats.org/officeDocument/2006/relationships/hyperlink" Id="rId55"/>
    <Relationship TargetMode="External" Target="https://www.legis.iowa.gov/docs/ico/chapter/146E.pdf" Type="http://schemas.openxmlformats.org/officeDocument/2006/relationships/hyperlink" Id="rId56"/>
    <Relationship TargetMode="External" Target="https://www.legis.iowa.gov/docs/ico/chapter/135B.1.pdf" Type="http://schemas.openxmlformats.org/officeDocument/2006/relationships/hyperlink" Id="rId57"/>
    <Relationship TargetMode="External" Target="https://www.legis.iowa.gov/docs/ico/chapter/135C.1.pdf" Type="http://schemas.openxmlformats.org/officeDocument/2006/relationships/hyperlink" Id="rId58"/>
    <Relationship TargetMode="External" Target="https://www.legis.iowa.gov/docs/ico/chapter/135P.1.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C.1.pdf" Type="http://schemas.openxmlformats.org/officeDocument/2006/relationships/hyperlink" Id="rId61"/>
    <Relationship TargetMode="External" Target="https://www.legis.iowa.gov/docs/ico/chapter/135P.1.pdf" Type="http://schemas.openxmlformats.org/officeDocument/2006/relationships/hyperlink" Id="rId62"/>
    <Relationship TargetMode="External" Target="https://www.legis.iowa.gov/docs/ico/chapter/146E.pdf" Type="http://schemas.openxmlformats.org/officeDocument/2006/relationships/hyperlink" Id="rId63"/>
    <Relationship TargetMode="External" Target="https://www.legis.iowa.gov/docs/ico/chapter/709.2.pdf" Type="http://schemas.openxmlformats.org/officeDocument/2006/relationships/hyperlink" Id="rId64"/>
    <Relationship TargetMode="External" Target="https://www.legis.iowa.gov/docs/ico/chapter/709.3.pdf" Type="http://schemas.openxmlformats.org/officeDocument/2006/relationships/hyperlink" Id="rId65"/>
    <Relationship TargetMode="External" Target="https://www.legis.iowa.gov/docs/ico/chapter/709.4.pdf" Type="http://schemas.openxmlformats.org/officeDocument/2006/relationships/hyperlink" Id="rId66"/>
    <Relationship TargetMode="External" Target="https://www.legis.iowa.gov/docs/ico/chapter/709.4A.pdf" Type="http://schemas.openxmlformats.org/officeDocument/2006/relationships/hyperlink" Id="rId67"/>
    <Relationship TargetMode="External" Target="https://www.legis.iowa.gov/docs/ico/chapter/146E.pdf" Type="http://schemas.openxmlformats.org/officeDocument/2006/relationships/hyperlink" Id="rId68"/>
    <Relationship TargetMode="External" Target="https://www.legis.iowa.gov/docs/ico/chapter/146E.pdf" Type="http://schemas.openxmlformats.org/officeDocument/2006/relationships/hyperlink" Id="rId69"/>
    <Relationship TargetMode="External" Target="https://www.legis.iowa.gov/docs/ico/chapter/124.pdf" Type="http://schemas.openxmlformats.org/officeDocument/2006/relationships/hyperlink" Id="rId70"/>
    <Relationship TargetMode="External" Target="https://www.legis.iowa.gov/docs/ico/chapter/124E.pdf" Type="http://schemas.openxmlformats.org/officeDocument/2006/relationships/hyperlink" Id="rId71"/>
    <Relationship TargetMode="External" Target="https://www.legis.iowa.gov/docs/ico/chapter/144E.pdf" Type="http://schemas.openxmlformats.org/officeDocument/2006/relationships/hyperlink" Id="rId72"/>
    <Relationship TargetMode="External" Target="https://www.legis.iowa.gov/docs/ico/chapter/146E.pdf" Type="http://schemas.openxmlformats.org/officeDocument/2006/relationships/hyperlink" Id="rId73"/>
    <Relationship TargetMode="External" Target="https://www.legis.iowa.gov/docs/ico/chapter/148.pdf" Type="http://schemas.openxmlformats.org/officeDocument/2006/relationships/hyperlink" Id="rId74"/>
    <Relationship TargetMode="External" Target="https://www.legis.iowa.gov/docs/ico/chapter/272C.pdf" Type="http://schemas.openxmlformats.org/officeDocument/2006/relationships/hyperlink" Id="rId75"/>
    <Relationship TargetMode="External" Target="https://www.legis.iowa.gov/docs/ico/chapter/147.55.pdf" Type="http://schemas.openxmlformats.org/officeDocument/2006/relationships/hyperlink" Id="rId76"/>
    <Relationship TargetMode="External" Target="https://www.legis.iowa.gov/docs/ico/chapter/148.6.pdf" Type="http://schemas.openxmlformats.org/officeDocument/2006/relationships/hyperlink" Id="rId77"/>
    <Relationship TargetMode="External" Target="https://www.legis.iowa.gov/docs/ico/chapter/147.107.pdf" Type="http://schemas.openxmlformats.org/officeDocument/2006/relationships/hyperlink" Id="rId78"/>
    <Relationship TargetMode="External" Target="https://www.legis.iowa.gov/docs/ico/chapter/272C.3.pdf" Type="http://schemas.openxmlformats.org/officeDocument/2006/relationships/hyperlink" Id="rId79"/>
    <Relationship TargetMode="External" Target="https://www.legis.iowa.gov/docs/ico/chapter/272C.4.pdf" Type="http://schemas.openxmlformats.org/officeDocument/2006/relationships/hyperlink" Id="rId80"/>
    <Relationship Target="footer.xml" Type="http://schemas.openxmlformats.org/officeDocument/2006/relationships/footer"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