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653</w:t>
      </w:r>
    </w:p>
    <w:p>
      <w:pPr>
        <w:spacing w:before="0" w:after="0"/>
        <w:ind w:left="120"/>
        <w:jc w:val="center"/>
      </w:pPr>
      <w:r>
        <w:rPr>
          <w:rFonts w:ascii="Times New Roman" w:hAnsi="Times New Roman"/>
          <w:b w:val="false"/>
          <w:i w:val="false"/>
          <w:color w:val="000000"/>
          <w:sz w:val="21"/>
        </w:rPr>
        <w:t>RESIDENT, SPECIAL AND TEMPORARY PHYSICIAN LICENSURE</w:t>
      </w:r>
    </w:p>
    <w:p>
      <w:pPr>
        <w:spacing w:before="0" w:after="0"/>
        <w:ind w:left="120"/>
        <w:jc w:val="center"/>
      </w:pPr>
      <w:r>
        <w:rPr>
          <w:rFonts w:ascii="Times New Roman" w:hAnsi="Times New Roman"/>
          <w:b w:val="false"/>
          <w:i w:val="false"/>
          <w:color w:val="000000"/>
          <w:sz w:val="20"/>
        </w:rPr>
        <w:t>[Prior to 5/30/01, see Medical Examiners Board[653] Ch 11]</w:t>
      </w:r>
    </w:p>
    <w:p>
      <w:pPr>
        <w:spacing w:before="0" w:after="0"/>
        <w:ind w:left="120"/>
        <w:jc w:val="center"/>
      </w:pPr>
      <w:r>
        <w:rPr>
          <w:rFonts w:ascii="Times New Roman" w:hAnsi="Times New Roman"/>
          <w:b w:val="false"/>
          <w:i w:val="false"/>
          <w:color w:val="000000"/>
          <w:sz w:val="20"/>
        </w:rPr>
        <w:t>[Prior to 6/11/25, see Medicine Board[653] Ch 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481—653.1</w:t>
      </w:r>
      <w:r>
        <w:rPr>
          <w:rFonts w:ascii="Times New Roman" w:hAnsi="Times New Roman"/>
          <w:b/>
          <w:i w:val="false"/>
          <w:color w:val="000000"/>
          <w:sz w:val="22"/>
        </w:rPr>
        <w:t xml:space="preserve">(147,148)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“ABMS”</w:t>
      </w:r>
      <w:r>
        <w:rPr>
          <w:rFonts w:ascii="Times New Roman" w:hAnsi="Times New Roman"/>
          <w:b w:val="false"/>
          <w:i w:val="false"/>
          <w:color w:val="000000"/>
          <w:sz w:val="22"/>
        </w:rPr>
        <w:t> </w:t>
      </w:r>
      <w:r>
        <w:rPr>
          <w:rFonts w:ascii="Times New Roman" w:hAnsi="Times New Roman"/>
          <w:b w:val="false"/>
          <w:i w:val="false"/>
          <w:color w:val="000000"/>
          <w:sz w:val="22"/>
        </w:rPr>
        <w:t>means the American Board of Medical Specialties.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“ACGME”</w:t>
      </w:r>
      <w:r>
        <w:rPr>
          <w:rFonts w:ascii="Times New Roman" w:hAnsi="Times New Roman"/>
          <w:b w:val="false"/>
          <w:i w:val="false"/>
          <w:color w:val="000000"/>
          <w:sz w:val="22"/>
        </w:rPr>
        <w:t> </w:t>
      </w:r>
      <w:r>
        <w:rPr>
          <w:rFonts w:ascii="Times New Roman" w:hAnsi="Times New Roman"/>
          <w:b w:val="false"/>
          <w:i w:val="false"/>
          <w:color w:val="000000"/>
          <w:sz w:val="22"/>
        </w:rPr>
        <w:t>means the Accreditation Council for Graduate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“AMA”</w:t>
      </w:r>
      <w:r>
        <w:rPr>
          <w:rFonts w:ascii="Times New Roman" w:hAnsi="Times New Roman"/>
          <w:b w:val="false"/>
          <w:i w:val="false"/>
          <w:color w:val="000000"/>
          <w:sz w:val="22"/>
        </w:rPr>
        <w:t> </w:t>
      </w:r>
      <w:r>
        <w:rPr>
          <w:rFonts w:ascii="Times New Roman" w:hAnsi="Times New Roman"/>
          <w:b w:val="false"/>
          <w:i w:val="false"/>
          <w:color w:val="000000"/>
          <w:sz w:val="22"/>
        </w:rPr>
        <w:t>means the American Medical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“Any jurisdiction”</w:t>
      </w:r>
      <w:r>
        <w:rPr>
          <w:rFonts w:ascii="Times New Roman" w:hAnsi="Times New Roman"/>
          <w:b w:val="false"/>
          <w:i w:val="false"/>
          <w:color w:val="000000"/>
          <w:sz w:val="22"/>
        </w:rPr>
        <w:t> </w:t>
      </w:r>
      <w:r>
        <w:rPr>
          <w:rFonts w:ascii="Times New Roman" w:hAnsi="Times New Roman"/>
          <w:b w:val="false"/>
          <w:i w:val="false"/>
          <w:color w:val="000000"/>
          <w:sz w:val="22"/>
        </w:rPr>
        <w:t>means any state, the District of Columbia or territory of the United States of America or any other 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“Any United States jurisdiction”</w:t>
      </w:r>
      <w:r>
        <w:rPr>
          <w:rFonts w:ascii="Times New Roman" w:hAnsi="Times New Roman"/>
          <w:b w:val="false"/>
          <w:i w:val="false"/>
          <w:color w:val="000000"/>
          <w:sz w:val="22"/>
        </w:rPr>
        <w:t> </w:t>
      </w:r>
      <w:r>
        <w:rPr>
          <w:rFonts w:ascii="Times New Roman" w:hAnsi="Times New Roman"/>
          <w:b w:val="false"/>
          <w:i w:val="false"/>
          <w:color w:val="000000"/>
          <w:sz w:val="22"/>
        </w:rPr>
        <w:t>means any state, the District of Columbia or territory of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“AOA”</w:t>
      </w:r>
      <w:r>
        <w:rPr>
          <w:rFonts w:ascii="Times New Roman" w:hAnsi="Times New Roman"/>
          <w:b w:val="false"/>
          <w:i w:val="false"/>
          <w:color w:val="000000"/>
          <w:sz w:val="22"/>
        </w:rPr>
        <w:t> </w:t>
      </w:r>
      <w:r>
        <w:rPr>
          <w:rFonts w:ascii="Times New Roman" w:hAnsi="Times New Roman"/>
          <w:b w:val="false"/>
          <w:i w:val="false"/>
          <w:color w:val="000000"/>
          <w:sz w:val="22"/>
        </w:rPr>
        <w:t>means the American Osteopathic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person who seeks authorization to practice medicine and surgery or osteopathic medicine and surgery in this state by making application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abuse education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 training program using a curriculum approved by the abuse education review panel of the department of health and human services or a training program offered by a hospital, a professional organization for physicians, the department of health and human services, the department of education, an area education agency, a school district, the Iowa law enforcement academy, an Iowa college or university, or a similar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“Board-approved activity”</w:t>
      </w:r>
      <w:r>
        <w:rPr>
          <w:rFonts w:ascii="Times New Roman" w:hAnsi="Times New Roman"/>
          <w:b w:val="false"/>
          <w:i w:val="false"/>
          <w:color w:val="000000"/>
          <w:sz w:val="22"/>
        </w:rPr>
        <w:t> </w:t>
      </w:r>
      <w:r>
        <w:rPr>
          <w:rFonts w:ascii="Times New Roman" w:hAnsi="Times New Roman"/>
          <w:b w:val="false"/>
          <w:i w:val="false"/>
          <w:color w:val="000000"/>
          <w:sz w:val="22"/>
        </w:rPr>
        <w:t>means one of the following activities: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Covering for an Iowa-licensed physician who unexpectedly is unavailable to provide medical care to the physician’s patients;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Demonstrating or proctoring that involves providing hands-on patient care to patients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Conducting a procedure on a patient in Iowa when the consultant’s expertise in the procedure is greater than that of the Iowa-licensed physician who requested the procedure;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Providing medical care to patients in Iowa, if the physician is enrolled in an out-of-state resident training program and does not hold a resident or permanent license in the home state of the resident training program;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Serving as a camp physician;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Participating as a learner in a program of further medical education that allows hands-on patient care when the physician does not currently hold a license in good standing in any United States jurisdiction; or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Any other activity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“Board-approved resident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 hospital-affiliated graduate medical education program accredited by the ACGME, AOA, RCPSC, or CFPC at the time the applicant is enrolled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“Category 1 credit”</w:t>
      </w:r>
      <w:r>
        <w:rPr>
          <w:rFonts w:ascii="Times New Roman" w:hAnsi="Times New Roman"/>
          <w:b w:val="false"/>
          <w:i w:val="false"/>
          <w:color w:val="000000"/>
          <w:sz w:val="22"/>
        </w:rPr>
        <w:t> </w:t>
      </w:r>
      <w:r>
        <w:rPr>
          <w:rFonts w:ascii="Times New Roman" w:hAnsi="Times New Roman"/>
          <w:b w:val="false"/>
          <w:i w:val="false"/>
          <w:color w:val="000000"/>
          <w:sz w:val="22"/>
        </w:rPr>
        <w:t>means any formal education program that is sponsored or jointly sponsored by an organization accredited for continuing medical education by the Accreditation Council for Continuing Medical Education, the Iowa Medical Society, or the Council on Continuing Medical Education of AOA that is of sufficient scope and depth of coverage of a subject area or theme to form an educational unit and is planned, administered and evaluated in terms of educational objectives that define a level of knowledge or a specific performance skill to be attained by the physician completing the program. Credits designated as formal cognates by the American College of Obstetricians and Gynecologists or as prescribed credits by the American Academy of Family Physicians are accepted as equivalent to category 1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“CFPC”</w:t>
      </w:r>
      <w:r>
        <w:rPr>
          <w:rFonts w:ascii="Times New Roman" w:hAnsi="Times New Roman"/>
          <w:b w:val="false"/>
          <w:i w:val="false"/>
          <w:color w:val="000000"/>
          <w:sz w:val="22"/>
        </w:rPr>
        <w:t> </w:t>
      </w:r>
      <w:r>
        <w:rPr>
          <w:rFonts w:ascii="Times New Roman" w:hAnsi="Times New Roman"/>
          <w:b w:val="false"/>
          <w:i w:val="false"/>
          <w:color w:val="000000"/>
          <w:sz w:val="22"/>
        </w:rPr>
        <w:t>means the College of Family Physicians of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“Committee”</w:t>
      </w:r>
      <w:r>
        <w:rPr>
          <w:rFonts w:ascii="Times New Roman" w:hAnsi="Times New Roman"/>
          <w:b w:val="false"/>
          <w:i w:val="false"/>
          <w:color w:val="000000"/>
          <w:sz w:val="22"/>
        </w:rPr>
        <w:t> </w:t>
      </w:r>
      <w:r>
        <w:rPr>
          <w:rFonts w:ascii="Times New Roman" w:hAnsi="Times New Roman"/>
          <w:b w:val="false"/>
          <w:i w:val="false"/>
          <w:color w:val="000000"/>
          <w:sz w:val="22"/>
        </w:rPr>
        <w:t>means the licensure committee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“ECFMG”</w:t>
      </w:r>
      <w:r>
        <w:rPr>
          <w:rFonts w:ascii="Times New Roman" w:hAnsi="Times New Roman"/>
          <w:b w:val="false"/>
          <w:i w:val="false"/>
          <w:color w:val="000000"/>
          <w:sz w:val="22"/>
        </w:rPr>
        <w:t> </w:t>
      </w:r>
      <w:r>
        <w:rPr>
          <w:rFonts w:ascii="Times New Roman" w:hAnsi="Times New Roman"/>
          <w:b w:val="false"/>
          <w:i w:val="false"/>
          <w:color w:val="000000"/>
          <w:sz w:val="22"/>
        </w:rPr>
        <w:t>means the Educational Commission for Foreign Medical Graduates.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“FCVS”</w:t>
      </w:r>
      <w:r>
        <w:rPr>
          <w:rFonts w:ascii="Times New Roman" w:hAnsi="Times New Roman"/>
          <w:b w:val="false"/>
          <w:i w:val="false"/>
          <w:color w:val="000000"/>
          <w:sz w:val="22"/>
        </w:rPr>
        <w:t> </w:t>
      </w:r>
      <w:r>
        <w:rPr>
          <w:rFonts w:ascii="Times New Roman" w:hAnsi="Times New Roman"/>
          <w:b w:val="false"/>
          <w:i w:val="false"/>
          <w:color w:val="000000"/>
          <w:sz w:val="22"/>
        </w:rPr>
        <w:t>means the Federation Credentials Verification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“FSMB”</w:t>
      </w:r>
      <w:r>
        <w:rPr>
          <w:rFonts w:ascii="Times New Roman" w:hAnsi="Times New Roman"/>
          <w:b w:val="false"/>
          <w:i w:val="false"/>
          <w:color w:val="000000"/>
          <w:sz w:val="22"/>
        </w:rPr>
        <w:t> </w:t>
      </w:r>
      <w:r>
        <w:rPr>
          <w:rFonts w:ascii="Times New Roman" w:hAnsi="Times New Roman"/>
          <w:b w:val="false"/>
          <w:i w:val="false"/>
          <w:color w:val="000000"/>
          <w:sz w:val="22"/>
        </w:rPr>
        <w:t>means the Federation of State Medical 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“Incidentally called into this state in consultation with a physician and surgeon licensed in this state”</w:t>
      </w:r>
      <w:r>
        <w:rPr>
          <w:rFonts w:ascii="Times New Roman" w:hAnsi="Times New Roman"/>
          <w:b w:val="false"/>
          <w:i w:val="false"/>
          <w:color w:val="000000"/>
          <w:sz w:val="22"/>
        </w:rPr>
        <w:t> </w:t>
      </w:r>
      <w:r>
        <w:rPr>
          <w:rFonts w:ascii="Times New Roman" w:hAnsi="Times New Roman"/>
          <w:b w:val="false"/>
          <w:i w:val="false"/>
          <w:color w:val="000000"/>
          <w:sz w:val="22"/>
        </w:rPr>
        <w:t xml:space="preserve">as set forth in Iowa Code section </w:t>
      </w:r>
      <w:hyperlink r:id="rId5">
        <w:r>
          <w:rPr>
            <w:rStyle w:val="Hyperlink"/>
            <w:rFonts w:ascii="Times New Roman" w:hAnsi="Times New Roman"/>
            <w:b w:val="false"/>
            <w:i w:val="false"/>
            <w:color w:val="000000"/>
            <w:sz w:val="22"/>
          </w:rPr>
          <w:t>148.2(5)</w:t>
        </w:r>
      </w:hyperlink>
      <w:r>
        <w:rPr>
          <w:rFonts w:ascii="Times New Roman" w:hAnsi="Times New Roman"/>
          <w:b w:val="false"/>
          <w:i w:val="false"/>
          <w:color w:val="000000"/>
          <w:sz w:val="22"/>
        </w:rPr>
        <w:t xml:space="preserve"> means all of the following shall be true: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consulting physician shall be involved in the care of patients in Iowa only at the request of an Iowa-licensed physician.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consulting physician has a license in good standing in another United States jurisdiction.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consulting physician provides expertise and acts in an advisory capacity to an Iowa-licensed physician. The consulting physician may examine the patient and advise an Iowa-licensed physician as to the care that should be provided, but the consulting physician will not personally perform procedures, write orders, or prescribe for the patient.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consulting physician practices in Iowa for a period not greater than 10 consecutive days and not more than 20 total days in any calendar year. Any portion of a day counts as one day.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Iowa-licensed physician requesting the consultation retains the primary responsibility for the management of the patient’s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“LCME”</w:t>
      </w:r>
      <w:r>
        <w:rPr>
          <w:rFonts w:ascii="Times New Roman" w:hAnsi="Times New Roman"/>
          <w:b w:val="false"/>
          <w:i w:val="false"/>
          <w:color w:val="000000"/>
          <w:sz w:val="22"/>
        </w:rPr>
        <w:t> </w:t>
      </w:r>
      <w:r>
        <w:rPr>
          <w:rFonts w:ascii="Times New Roman" w:hAnsi="Times New Roman"/>
          <w:b w:val="false"/>
          <w:i w:val="false"/>
          <w:color w:val="000000"/>
          <w:sz w:val="22"/>
        </w:rPr>
        <w:t>means Liaison Committee on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degree”</w:t>
      </w:r>
      <w:r>
        <w:rPr>
          <w:rFonts w:ascii="Times New Roman" w:hAnsi="Times New Roman"/>
          <w:b w:val="false"/>
          <w:i w:val="false"/>
          <w:color w:val="000000"/>
          <w:sz w:val="22"/>
        </w:rPr>
        <w:t> </w:t>
      </w:r>
      <w:r>
        <w:rPr>
          <w:rFonts w:ascii="Times New Roman" w:hAnsi="Times New Roman"/>
          <w:b w:val="false"/>
          <w:i w:val="false"/>
          <w:color w:val="000000"/>
          <w:sz w:val="22"/>
        </w:rPr>
        <w:t>means a degree of doctor of medicine and surgery or osteopathic medicine and surgery or comparable education from an international medical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“Permanent licensure”</w:t>
      </w:r>
      <w:r>
        <w:rPr>
          <w:rFonts w:ascii="Times New Roman" w:hAnsi="Times New Roman"/>
          <w:b w:val="false"/>
          <w:i w:val="false"/>
          <w:color w:val="000000"/>
          <w:sz w:val="22"/>
        </w:rPr>
        <w:t> </w:t>
      </w:r>
      <w:r>
        <w:rPr>
          <w:rFonts w:ascii="Times New Roman" w:hAnsi="Times New Roman"/>
          <w:b w:val="false"/>
          <w:i w:val="false"/>
          <w:color w:val="000000"/>
          <w:sz w:val="22"/>
        </w:rPr>
        <w:t>means licensure granted after review of the application and credentials to determine that the individual is qualified to enter into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“Postgraduate training”</w:t>
      </w:r>
      <w:r>
        <w:rPr>
          <w:rFonts w:ascii="Times New Roman" w:hAnsi="Times New Roman"/>
          <w:b w:val="false"/>
          <w:i w:val="false"/>
          <w:color w:val="000000"/>
          <w:sz w:val="22"/>
        </w:rPr>
        <w:t> </w:t>
      </w:r>
      <w:r>
        <w:rPr>
          <w:rFonts w:ascii="Times New Roman" w:hAnsi="Times New Roman"/>
          <w:b w:val="false"/>
          <w:i w:val="false"/>
          <w:color w:val="000000"/>
          <w:sz w:val="22"/>
        </w:rPr>
        <w:t>means graduate medical education, e.g., an internship, residency or fellowship, in a hospital-affiliated training program approved by the board at the time the applicant was enrolled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“Practice”</w:t>
      </w:r>
      <w:r>
        <w:rPr>
          <w:rFonts w:ascii="Times New Roman" w:hAnsi="Times New Roman"/>
          <w:b w:val="false"/>
          <w:i w:val="false"/>
          <w:color w:val="000000"/>
          <w:sz w:val="22"/>
        </w:rPr>
        <w:t> </w:t>
      </w:r>
      <w:r>
        <w:rPr>
          <w:rFonts w:ascii="Times New Roman" w:hAnsi="Times New Roman"/>
          <w:b w:val="false"/>
          <w:i w:val="false"/>
          <w:color w:val="000000"/>
          <w:sz w:val="22"/>
        </w:rPr>
        <w:t>means the practice of medicine and surgery or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“RCPSC”</w:t>
      </w:r>
      <w:r>
        <w:rPr>
          <w:rFonts w:ascii="Times New Roman" w:hAnsi="Times New Roman"/>
          <w:b w:val="false"/>
          <w:i w:val="false"/>
          <w:color w:val="000000"/>
          <w:sz w:val="22"/>
        </w:rPr>
        <w:t> </w:t>
      </w:r>
      <w:r>
        <w:rPr>
          <w:rFonts w:ascii="Times New Roman" w:hAnsi="Times New Roman"/>
          <w:b w:val="false"/>
          <w:i w:val="false"/>
          <w:color w:val="000000"/>
          <w:sz w:val="22"/>
        </w:rPr>
        <w:t>means the Royal College of Physicians and Surgeons of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 physician”</w:t>
      </w:r>
      <w:r>
        <w:rPr>
          <w:rFonts w:ascii="Times New Roman" w:hAnsi="Times New Roman"/>
          <w:b w:val="false"/>
          <w:i w:val="false"/>
          <w:color w:val="000000"/>
          <w:sz w:val="22"/>
        </w:rPr>
        <w:t> </w:t>
      </w:r>
      <w:r>
        <w:rPr>
          <w:rFonts w:ascii="Times New Roman" w:hAnsi="Times New Roman"/>
          <w:b w:val="false"/>
          <w:i w:val="false"/>
          <w:color w:val="000000"/>
          <w:sz w:val="22"/>
        </w:rPr>
        <w:t>means a physician enrolled in an internship, residency or fellowship.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 hospital-affiliated graduate medical education program that enrolls interns, residents or fellows and may be referred to as a postgraduate training program for purposes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charge”</w:t>
      </w:r>
      <w:r>
        <w:rPr>
          <w:rFonts w:ascii="Times New Roman" w:hAnsi="Times New Roman"/>
          <w:b w:val="false"/>
          <w:i w:val="false"/>
          <w:color w:val="000000"/>
          <w:sz w:val="22"/>
        </w:rPr>
        <w:t> </w:t>
      </w:r>
      <w:r>
        <w:rPr>
          <w:rFonts w:ascii="Times New Roman" w:hAnsi="Times New Roman"/>
          <w:b w:val="false"/>
          <w:i w:val="false"/>
          <w:color w:val="000000"/>
          <w:sz w:val="22"/>
        </w:rPr>
        <w:t>means the amount charged for making a service available online and is in addition to the actual fee for a service itself. For example, one who renews a license online will pay the license renewal fee and a service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for chronic pain management”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required training on chronic pain management identified in </w:t>
      </w:r>
      <w:hyperlink r:id="rId6">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for end-of-life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required training on end-of-life care identified in </w:t>
      </w:r>
      <w:hyperlink r:id="rId7">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for identifying and reporting abuse”</w:t>
      </w:r>
      <w:r>
        <w:rPr>
          <w:rFonts w:ascii="Times New Roman" w:hAnsi="Times New Roman"/>
          <w:b w:val="false"/>
          <w:i w:val="false"/>
          <w:color w:val="000000"/>
          <w:sz w:val="22"/>
        </w:rPr>
        <w:t> </w:t>
      </w:r>
      <w:r>
        <w:rPr>
          <w:rFonts w:ascii="Times New Roman" w:hAnsi="Times New Roman"/>
          <w:b w:val="false"/>
          <w:i w:val="false"/>
          <w:color w:val="000000"/>
          <w:sz w:val="22"/>
        </w:rPr>
        <w:t>means training on identifying and reporting child abuse or dependent adult abuse required of physicians who regularly provide primary health care to children or adults,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“Uniform application for physician state licensure”</w:t>
      </w:r>
      <w:r>
        <w:rPr>
          <w:rFonts w:ascii="Times New Roman" w:hAnsi="Times New Roman"/>
          <w:b w:val="false"/>
          <w:i w:val="false"/>
          <w:color w:val="000000"/>
          <w:sz w:val="22"/>
        </w:rPr>
        <w:t> </w:t>
      </w:r>
      <w:r>
        <w:rPr>
          <w:rFonts w:ascii="Times New Roman" w:hAnsi="Times New Roman"/>
          <w:b w:val="false"/>
          <w:i w:val="false"/>
          <w:color w:val="000000"/>
          <w:sz w:val="22"/>
        </w:rPr>
        <w:t>means a web-based application that is intended to standardize and simplify the licensure application process for state medical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481—653.2</w:t>
      </w:r>
      <w:r>
        <w:rPr>
          <w:rFonts w:ascii="Times New Roman" w:hAnsi="Times New Roman"/>
          <w:b/>
          <w:i w:val="false"/>
          <w:color w:val="000000"/>
          <w:sz w:val="22"/>
        </w:rPr>
        <w:t xml:space="preserve">(148) </w:t>
      </w:r>
      <w:r>
        <w:rPr>
          <w:rFonts w:ascii="Times New Roman" w:hAnsi="Times New Roman"/>
          <w:b/>
          <w:i w:val="false"/>
          <w:color w:val="000000"/>
          <w:sz w:val="22"/>
        </w:rPr>
        <w:t xml:space="preserve">Licensure required. </w:t>
      </w:r>
      <w:r>
        <w:rPr>
          <w:rFonts w:ascii="Times New Roman" w:hAnsi="Times New Roman"/>
          <w:b w:val="false"/>
          <w:i w:val="false"/>
          <w:color w:val="000000"/>
          <w:sz w:val="22"/>
        </w:rPr>
        <w:t xml:space="preserve">Licensure is required for practice in Iowa as identified in Iowa Code section </w:t>
      </w:r>
      <w:hyperlink r:id="rId8">
        <w:r>
          <w:rPr>
            <w:rStyle w:val="Hyperlink"/>
            <w:rFonts w:ascii="Times New Roman" w:hAnsi="Times New Roman"/>
            <w:b w:val="false"/>
            <w:i w:val="false"/>
            <w:color w:val="000000"/>
            <w:sz w:val="22"/>
          </w:rPr>
          <w:t>148.1</w:t>
        </w:r>
      </w:hyperlink>
      <w:r>
        <w:rPr>
          <w:rFonts w:ascii="Times New Roman" w:hAnsi="Times New Roman"/>
          <w:b w:val="false"/>
          <w:i w:val="false"/>
          <w:color w:val="000000"/>
          <w:sz w:val="22"/>
        </w:rPr>
        <w:t xml:space="preserve">; the exceptions are identified in </w:t>
      </w:r>
      <w:hyperlink r:id="rId9">
        <w:r>
          <w:rPr>
            <w:rStyle w:val="Hyperlink"/>
            <w:rFonts w:ascii="Times New Roman" w:hAnsi="Times New Roman"/>
            <w:b w:val="false"/>
            <w:i w:val="false"/>
            <w:color w:val="000000"/>
            <w:sz w:val="22"/>
          </w:rPr>
          <w:t>481—subrule 652.2(2)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481—653.3</w:t>
      </w:r>
      <w:r>
        <w:rPr>
          <w:rFonts w:ascii="Times New Roman" w:hAnsi="Times New Roman"/>
          <w:b/>
          <w:i w:val="false"/>
          <w:color w:val="000000"/>
          <w:sz w:val="22"/>
        </w:rPr>
        <w:t xml:space="preserve">(147,148) </w:t>
      </w:r>
      <w:r>
        <w:rPr>
          <w:rFonts w:ascii="Times New Roman" w:hAnsi="Times New Roman"/>
          <w:b/>
          <w:i w:val="false"/>
          <w:color w:val="000000"/>
          <w:sz w:val="22"/>
        </w:rPr>
        <w:t xml:space="preserve">Resident physician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653.3(1)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physician license authorizes the licensee to practice as an intern, resident or fellow while under the supervision of a licensed practitioner of medicine and surgery or osteopathic medicine and surgery in a board-approved resident training program in Iowa. When the ACGME, AOA, RCPSC, or CFPC fails to offer accreditation for a fellowship or the fellowship fails to seek accreditation, the board will approve the program if the parent program is accredited by one of the aforementioned accrediting bodies. Completion of one or more years of a program that itself lacks such accreditation does not fulfill the one-year resident training requirement for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Iowa resident physician license or an Iowa permanent physician license is required of any resident physician enrolled in an Iowa resident training program and practicing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resident physician license will expire on the expected date of completion of the resident training program as indicated on the licensure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resident physician license is valid only for practice in the program designated in the application. When the physician leaves that program, the license will immediately become inactive. The director of the resident training program must notify the board within 30 days of the licensee’s terminating from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physician licensee who changes resident training programs must apply for a new resident physician license as described in subrule </w:t>
      </w:r>
      <w:hyperlink r:id="rId10">
        <w:r>
          <w:rPr>
            <w:rStyle w:val="Hyperlink"/>
            <w:rFonts w:ascii="Times New Roman" w:hAnsi="Times New Roman"/>
            <w:b w:val="false"/>
            <w:i w:val="false"/>
            <w:color w:val="000000"/>
            <w:sz w:val="22"/>
          </w:rPr>
          <w:t>653.3(3)</w:t>
        </w:r>
      </w:hyperlink>
      <w:r>
        <w:rPr>
          <w:rFonts w:ascii="Times New Roman" w:hAnsi="Times New Roman"/>
          <w:b w:val="false"/>
          <w:i w:val="false"/>
          <w:color w:val="000000"/>
          <w:sz w:val="22"/>
        </w:rPr>
        <w:t>. Such changes include a transfer to a different program in the same institution, a move to a program in another institution, or becoming a fellow after completing a residency in the same core program. An individual who contracts with an institution to be in two programs from the time of application for the resident license shall not be required to apply for another resident license for the second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visiting resident physician may come to Iowa to practice as a part of the physician’s resident training program if the physician is under the supervision of an Iowa-licensed physician. An Iowa physician license is not required of a physician in training if the physician has a resident or permanent license in good standing in the home state of the resident training program. An Iowa temporary physician license is required of a physician in training if the physician does not hold a resident or permanent physician license in good standing in the home state of the resident training program (more information can be found in rule </w:t>
      </w:r>
      <w:hyperlink r:id="rId11">
        <w:r>
          <w:rPr>
            <w:rStyle w:val="Hyperlink"/>
            <w:rFonts w:ascii="Times New Roman" w:hAnsi="Times New Roman"/>
            <w:b w:val="false"/>
            <w:i w:val="false"/>
            <w:color w:val="000000"/>
            <w:sz w:val="22"/>
          </w:rPr>
          <w:t>481—653.5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 Iowa license is not required for residents when they are training in a federal facility in Iowa. An Iowa license is not required for faculty who are teaching in and employed by a federal facility in Iowa and who are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director of a resident training program that enrolls a resident with an Iowa resident physician license shall report annually on October 1 on the resident’s progress and whether any warnings have been issued, investigations conducted, or disciplinary actions taken, whether by voluntary agreement or formal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resident physician licensee must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resident physician licensee’s file shall be closed and labeled “deceased” when the board receives a copy of the physician’s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653.3(2)</w:t>
      </w:r>
      <w:r>
        <w:rPr>
          <w:rFonts w:ascii="Times New Roman" w:hAnsi="Times New Roman"/>
          <w:b w:val="false"/>
          <w:i w:val="false"/>
          <w:color w:val="000000"/>
          <w:sz w:val="22"/>
        </w:rPr>
        <w:t> </w:t>
      </w:r>
      <w:r>
        <w:rPr>
          <w:rFonts w:ascii="Times New Roman" w:hAnsi="Times New Roman"/>
          <w:b w:val="false"/>
          <w:i/>
          <w:color w:val="000000"/>
          <w:sz w:val="22"/>
        </w:rPr>
        <w:t xml:space="preserve">Resident license eligibility. </w:t>
      </w:r>
      <w:r>
        <w:rPr>
          <w:rFonts w:ascii="Times New Roman" w:hAnsi="Times New Roman"/>
          <w:b w:val="false"/>
          <w:i w:val="false"/>
          <w:color w:val="000000"/>
          <w:sz w:val="22"/>
        </w:rPr>
        <w:t>To be eligible for a resident license, an applicant must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application requirements specified in subrule </w:t>
      </w:r>
      <w:hyperlink r:id="rId12">
        <w:r>
          <w:rPr>
            <w:rStyle w:val="Hyperlink"/>
            <w:rFonts w:ascii="Times New Roman" w:hAnsi="Times New Roman"/>
            <w:b w:val="false"/>
            <w:i w:val="false"/>
            <w:color w:val="000000"/>
            <w:sz w:val="22"/>
          </w:rPr>
          <w:t>653.3(3)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 least 20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 a medical degree from an educational institution approved by the board at the time the applicant graduated and was awarded the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institutions approved by the board must be fully accredited by an accrediting agency recognized by the board as schools of instruction in medicine and surgery or osteopathic medicine and surgery and empowered to grant academic degrees in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accrediting bodies currently recognized by the board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LCME for educational institutions granting degrees in medicine and surgery;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AOA for educational institutions granting degrees in osteopathic medicine and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holds a medical degree from an educational institution not approved by the board at the time the applicant graduated and was awarded the degree,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 a valid certificate issued by ECFMG,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successfully completed a fifth pathway program established in accordance with AMA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13">
        <w:r>
          <w:rPr>
            <w:rStyle w:val="Hyperlink"/>
            <w:rFonts w:ascii="Times New Roman" w:hAnsi="Times New Roman"/>
            <w:b w:val="false"/>
            <w:i w:val="false"/>
            <w:color w:val="000000"/>
            <w:sz w:val="22"/>
          </w:rPr>
          <w:t>481—subrule 652.3(3)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653.3(3)</w:t>
      </w:r>
      <w:r>
        <w:rPr>
          <w:rFonts w:ascii="Times New Roman" w:hAnsi="Times New Roman"/>
          <w:b w:val="false"/>
          <w:i w:val="false"/>
          <w:color w:val="000000"/>
          <w:sz w:val="22"/>
        </w:rPr>
        <w:t> </w:t>
      </w:r>
      <w:r>
        <w:rPr>
          <w:rFonts w:ascii="Times New Roman" w:hAnsi="Times New Roman"/>
          <w:b w:val="false"/>
          <w:i/>
          <w:color w:val="000000"/>
          <w:sz w:val="22"/>
        </w:rPr>
        <w:t xml:space="preserve">Resident physician licensure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apply for resident physician licensure,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initial application fee and fee for the evaluation of the fingerprint packet and the criminal history background checks by the division of criminal investigation (DCI) and the Federal Bureau of Investigation (FBI) as specified in </w:t>
      </w:r>
      <w:hyperlink r:id="rId14">
        <w:r>
          <w:rPr>
            <w:rStyle w:val="Hyperlink"/>
            <w:rFonts w:ascii="Times New Roman" w:hAnsi="Times New Roman"/>
            <w:b w:val="false"/>
            <w:i w:val="false"/>
            <w:color w:val="000000"/>
            <w:sz w:val="22"/>
          </w:rPr>
          <w:t>481—paragraph 651.4(2)</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and submit forms provided by the board, including required credentials,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require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Full legal name, date and place of birth, home address,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photocopy of the applicant’s medical degree issued by an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 translation shall be submitted for any diploma not written in English. An official transcript, written in English and received directly from the school, verifying graduation from medical school is a suitable alternative. An official FCVS Physician Information Profile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copy of the medical degree cannot be provided because of extraordinary circumstances, the board may accept other reliable evidence that the applicant obtained a medical degree from a specific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educational institution awarding the applicant the degree has not been approved by the board, the applicant shall provide a valid ECFMG certificate or evidence of successful completion of a fifth pathway program in accordance with criteria established by the AMA. An official FCVS Physician Information Profile is a suitable alternative;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or professional regulatory authority, an educational institution, training or research program, or health care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653.3(4)</w:t>
      </w:r>
      <w:r>
        <w:rPr>
          <w:rFonts w:ascii="Times New Roman" w:hAnsi="Times New Roman"/>
          <w:b w:val="false"/>
          <w:i w:val="false"/>
          <w:color w:val="000000"/>
          <w:sz w:val="22"/>
        </w:rPr>
        <w:t> </w:t>
      </w:r>
      <w:r>
        <w:rPr>
          <w:rFonts w:ascii="Times New Roman" w:hAnsi="Times New Roman"/>
          <w:b w:val="false"/>
          <w:i/>
          <w:color w:val="000000"/>
          <w:sz w:val="22"/>
        </w:rPr>
        <w:t xml:space="preserve">Resident license application review process. </w:t>
      </w:r>
      <w:r>
        <w:rPr>
          <w:rFonts w:ascii="Times New Roman" w:hAnsi="Times New Roman"/>
          <w:b w:val="false"/>
          <w:i w:val="false"/>
          <w:color w:val="000000"/>
          <w:sz w:val="22"/>
        </w:rPr>
        <w:t>The process below shall be utilized to review each application for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considered open from the date the application form is received in the board office with the nonrefundable resident licensure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shall notify the applicant or designee about how to resolve any problems identified by the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grant administratively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director of licensure and administration, and director of legal affairs shall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shall grant administratively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shall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refer to the committee for review matters that include but are not limited to falsification of information on the application, criminal record, substance abuse, competency, physical or mental illness, or educational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grant administratively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shall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resident physician license for a particular residency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resident physician license for a particular residency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license. The board may deny a license for any grounds on which the board may discipline a license. The procedure for appealing a license denial is set forth in rule </w:t>
      </w:r>
      <w:hyperlink r:id="rId15">
        <w:r>
          <w:rPr>
            <w:rStyle w:val="Hyperlink"/>
            <w:rFonts w:ascii="Times New Roman" w:hAnsi="Times New Roman"/>
            <w:b w:val="false"/>
            <w:i w:val="false"/>
            <w:color w:val="000000"/>
            <w:sz w:val="22"/>
          </w:rPr>
          <w:t>481—652.15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653.3(5)</w:t>
      </w:r>
      <w:r>
        <w:rPr>
          <w:rFonts w:ascii="Times New Roman" w:hAnsi="Times New Roman"/>
          <w:b w:val="false"/>
          <w:i w:val="false"/>
          <w:color w:val="000000"/>
          <w:sz w:val="22"/>
        </w:rPr>
        <w:t> </w:t>
      </w:r>
      <w:r>
        <w:rPr>
          <w:rFonts w:ascii="Times New Roman" w:hAnsi="Times New Roman"/>
          <w:b w:val="false"/>
          <w:i/>
          <w:color w:val="000000"/>
          <w:sz w:val="22"/>
        </w:rPr>
        <w:t xml:space="preserve">Resident license application cycle. </w:t>
      </w:r>
      <w:r>
        <w:rPr>
          <w:rFonts w:ascii="Times New Roman" w:hAnsi="Times New Roman"/>
          <w:b w:val="false"/>
          <w:i w:val="false"/>
          <w:color w:val="000000"/>
          <w:sz w:val="22"/>
        </w:rPr>
        <w:t>If the applicant does not submit all materials within 90 days of the board’s initial request for further information, the application shall be considered inactive. An applicant must reapply and submit a new nonrefundable application fee and a new application, documents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653.3(6)</w:t>
      </w:r>
      <w:r>
        <w:rPr>
          <w:rFonts w:ascii="Times New Roman" w:hAnsi="Times New Roman"/>
          <w:b w:val="false"/>
          <w:i w:val="false"/>
          <w:color w:val="000000"/>
          <w:sz w:val="22"/>
        </w:rPr>
        <w:t> </w:t>
      </w:r>
      <w:r>
        <w:rPr>
          <w:rFonts w:ascii="Times New Roman" w:hAnsi="Times New Roman"/>
          <w:b w:val="false"/>
          <w:i/>
          <w:color w:val="000000"/>
          <w:sz w:val="22"/>
        </w:rPr>
        <w:t xml:space="preserve">Extension of a resident physician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licensee fails to complete the program by the expiration date on the license, the licensee has a one-month grace period in which to complete the program or secure an extension from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physician licensee must apply for an extension if the licensee has not been granted permanent physician licensure and the licensee will not complete the program within the grace period. The following extension application materials are due in the board office prior to the expiration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requesting an extension and providing an explanation of the need for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extension fee as specified in </w:t>
      </w:r>
      <w:hyperlink r:id="rId16">
        <w:r>
          <w:rPr>
            <w:rStyle w:val="Hyperlink"/>
            <w:rFonts w:ascii="Times New Roman" w:hAnsi="Times New Roman"/>
            <w:b w:val="false"/>
            <w:i w:val="false"/>
            <w:color w:val="000000"/>
            <w:sz w:val="22"/>
          </w:rPr>
          <w:t>481—paragraph 651.4(2)</w:t>
        </w:r>
      </w:hyperlink>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from the director of the resident training program attesting to the new expected date of completion of the program and the individual’s progress in the program and whether any warnings have been issued, investigations conducted, or disciplinary actions taken, whether by voluntary agreement or formal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of the licensee to extend a license within one month following the expiration date will cause the license to become inactive and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extend an inactive resident license within one year of becoming inactive, an applicant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requesting an extension and providing an explanation of the need for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extension fee as specified in </w:t>
      </w:r>
      <w:hyperlink r:id="rId17">
        <w:r>
          <w:rPr>
            <w:rStyle w:val="Hyperlink"/>
            <w:rFonts w:ascii="Times New Roman" w:hAnsi="Times New Roman"/>
            <w:b w:val="false"/>
            <w:i w:val="false"/>
            <w:color w:val="000000"/>
            <w:sz w:val="22"/>
          </w:rPr>
          <w:t>481—paragraph 651.4(2)</w:t>
        </w:r>
        <w:r>
          <w:rPr>
            <w:rFonts w:ascii="Times New Roman" w:hAnsi="Times New Roman"/>
            <w:b w:val="false"/>
            <w:i/>
            <w:color w:val="000000"/>
            <w:sz w:val="22"/>
          </w:rPr>
          <w:t>“b”</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late fee as specified in </w:t>
      </w:r>
      <w:hyperlink r:id="rId18">
        <w:r>
          <w:rPr>
            <w:rStyle w:val="Hyperlink"/>
            <w:rFonts w:ascii="Times New Roman" w:hAnsi="Times New Roman"/>
            <w:b w:val="false"/>
            <w:i w:val="false"/>
            <w:color w:val="000000"/>
            <w:sz w:val="22"/>
          </w:rPr>
          <w:t>481—paragraph 651.4(2)</w:t>
        </w:r>
        <w:r>
          <w:rPr>
            <w:rFonts w:ascii="Times New Roman" w:hAnsi="Times New Roman"/>
            <w:b w:val="false"/>
            <w:i/>
            <w:color w:val="000000"/>
            <w:sz w:val="22"/>
          </w:rPr>
          <w:t>“c”</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from the director of the resident training program attesting to the new expected date of completion of the program and the individual’s progress in the program and whether any warnings have been issued, investigations conducted, or disciplinary actions taken, whether by voluntary agreement or formal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more than one year has passed since the resident license became inactive, the applicant shall apply for a new resident license as described in subrule </w:t>
      </w:r>
      <w:hyperlink r:id="rId19">
        <w:r>
          <w:rPr>
            <w:rStyle w:val="Hyperlink"/>
            <w:rFonts w:ascii="Times New Roman" w:hAnsi="Times New Roman"/>
            <w:b w:val="false"/>
            <w:i w:val="false"/>
            <w:color w:val="000000"/>
            <w:sz w:val="22"/>
          </w:rPr>
          <w:t>653.3(3)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653.3(7)</w:t>
      </w:r>
      <w:r>
        <w:rPr>
          <w:rFonts w:ascii="Times New Roman" w:hAnsi="Times New Roman"/>
          <w:b w:val="false"/>
          <w:i w:val="false"/>
          <w:color w:val="000000"/>
          <w:sz w:val="22"/>
        </w:rPr>
        <w:t> </w:t>
      </w:r>
      <w:r>
        <w:rPr>
          <w:rFonts w:ascii="Times New Roman" w:hAnsi="Times New Roman"/>
          <w:b w:val="false"/>
          <w:i/>
          <w:color w:val="000000"/>
          <w:sz w:val="22"/>
        </w:rPr>
        <w:t xml:space="preserve">Review process for extending a resident license. </w:t>
      </w:r>
      <w:r>
        <w:rPr>
          <w:rFonts w:ascii="Times New Roman" w:hAnsi="Times New Roman"/>
          <w:b w:val="false"/>
          <w:i w:val="false"/>
          <w:color w:val="000000"/>
          <w:sz w:val="22"/>
        </w:rPr>
        <w:t>The process below shall be utilized to review each request for an extension of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extension request shall be considered open from the date the required letters and nonrefundable extension fee are received in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request for extension, staff shall notify the licensee or designee about how to resolve any problems identified by the reviewer. The applicant for license extension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continued licensure, staff may grant administratively an extension to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the director of licensure and administration, and the director of legal affairs shall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shall grant administratively an extension to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shall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refer to the committee for review matters that include but are not limited to falsification of information in the request, criminal record, substance abuse, competency, physical or mental illness, or educational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grant administratively an extension to a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shall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licensee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licensee withdraw the request for an extension;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Deny a request for an extension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an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 that the licensee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an extension to the resident physician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Grant an extension to the resident physician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Request that the licensee withdraw the request for an extension;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request for an extension of the license. The board may deny an extension of a license for any grounds on which the board may discipline a license. The procedure for appealing a license denial of an extension is set forth in rule </w:t>
      </w:r>
      <w:hyperlink r:id="rId20">
        <w:r>
          <w:rPr>
            <w:rStyle w:val="Hyperlink"/>
            <w:rFonts w:ascii="Times New Roman" w:hAnsi="Times New Roman"/>
            <w:b w:val="false"/>
            <w:i w:val="false"/>
            <w:color w:val="000000"/>
            <w:sz w:val="22"/>
          </w:rPr>
          <w:t>481—652.15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653.3(8)</w:t>
      </w:r>
      <w:r>
        <w:rPr>
          <w:rFonts w:ascii="Times New Roman" w:hAnsi="Times New Roman"/>
          <w:b w:val="false"/>
          <w:i w:val="false"/>
          <w:color w:val="000000"/>
          <w:sz w:val="22"/>
        </w:rPr>
        <w:t> </w:t>
      </w:r>
      <w:r>
        <w:rPr>
          <w:rFonts w:ascii="Times New Roman" w:hAnsi="Times New Roman"/>
          <w:b w:val="false"/>
          <w:i/>
          <w:color w:val="000000"/>
          <w:sz w:val="22"/>
        </w:rPr>
        <w:t xml:space="preserve">Discipline of a resident license. </w:t>
      </w:r>
      <w:r>
        <w:rPr>
          <w:rFonts w:ascii="Times New Roman" w:hAnsi="Times New Roman"/>
          <w:b w:val="false"/>
          <w:i w:val="false"/>
          <w:color w:val="000000"/>
          <w:sz w:val="22"/>
        </w:rPr>
        <w:t xml:space="preserve">The board may discipline a license for any of the grounds for which licensure may be revoked or suspended as specified in Iowa Code section </w:t>
      </w:r>
      <w:hyperlink r:id="rId21">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Iowa Code chapter </w:t>
      </w:r>
      <w:hyperlink r:id="rId2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653.3(9)</w:t>
      </w:r>
      <w:r>
        <w:rPr>
          <w:rFonts w:ascii="Times New Roman" w:hAnsi="Times New Roman"/>
          <w:b w:val="false"/>
          <w:i w:val="false"/>
          <w:color w:val="000000"/>
          <w:sz w:val="22"/>
        </w:rPr>
        <w:t> </w:t>
      </w:r>
      <w:r>
        <w:rPr>
          <w:rFonts w:ascii="Times New Roman" w:hAnsi="Times New Roman"/>
          <w:b w:val="false"/>
          <w:i/>
          <w:color w:val="000000"/>
          <w:sz w:val="22"/>
        </w:rPr>
        <w:t xml:space="preserve">Transition from a resident license to a permanent license. </w:t>
      </w:r>
      <w:r>
        <w:rPr>
          <w:rFonts w:ascii="Times New Roman" w:hAnsi="Times New Roman"/>
          <w:b w:val="false"/>
          <w:i w:val="false"/>
          <w:color w:val="000000"/>
          <w:sz w:val="22"/>
        </w:rPr>
        <w:t>When a resident physician receives a permanent Iowa license, the resident physician license shall immediately become inactive.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481—653.4</w:t>
      </w:r>
      <w:r>
        <w:rPr>
          <w:rFonts w:ascii="Times New Roman" w:hAnsi="Times New Roman"/>
          <w:b/>
          <w:i w:val="false"/>
          <w:color w:val="000000"/>
          <w:sz w:val="22"/>
        </w:rPr>
        <w:t xml:space="preserve">(147,148) </w:t>
      </w:r>
      <w:r>
        <w:rPr>
          <w:rFonts w:ascii="Times New Roman" w:hAnsi="Times New Roman"/>
          <w:b/>
          <w:i w:val="false"/>
          <w:color w:val="000000"/>
          <w:sz w:val="22"/>
        </w:rPr>
        <w:t xml:space="preserve">Special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653.4(1)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grant a special license to a physician who is an academic staff member of a college of medicine or osteopathic medicine if that physician does not meet the qualifications for permanent licensure but is held in high esteem for unique contributions the individual has made to medicine and will make by practicing in Iowa. The license is not designed for physicians in regular faculty positions that could be filled by a physician qualified for permanent licensure in Iowa or for the purpose of training the physician who receives the license. The board will consider granting and renewing a special license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special license may be issued for a period of not more than one year and may be renewed annually prior to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special license will specifically limit the licensee to practice at the medical college and at any health care facility affiliated with the medical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special license will automatically be placed on inactive status when the licensee discontinues service on the academic medical staff for which the special license was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cancel a special license if the licensee has practiced outside the scope of this license or for any of the grounds for which licensure may be revoked or suspended as specified in Iowa Code sections </w:t>
      </w:r>
      <w:hyperlink r:id="rId25">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xml:space="preserve">. When cancellation of such a license is proposed, the board shall promptly notify the licensee by sending a statement of charges and notice of hearing by certified mail to the last-known address of the licensee. This contested case proceeding shall be governed by the provisions of </w:t>
      </w:r>
      <w:hyperlink r:id="rId29">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special physician licensee must notify the board of any change in home address or the address of the place of practice within one month of making an address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special physician licensee must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special physician licensee file will be closed and labeled “deceased” when the board receives a copy of the physician’s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board may accept each 12 months of practice as a special licensee as equivalent to one year of postgraduate training in a hospital-affiliated program approved by the board for the purposes of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653.4(2)</w:t>
      </w:r>
      <w:r>
        <w:rPr>
          <w:rFonts w:ascii="Times New Roman" w:hAnsi="Times New Roman"/>
          <w:b w:val="false"/>
          <w:i w:val="false"/>
          <w:color w:val="000000"/>
          <w:sz w:val="22"/>
        </w:rPr>
        <w:t> </w:t>
      </w:r>
      <w:r>
        <w:rPr>
          <w:rFonts w:ascii="Times New Roman" w:hAnsi="Times New Roman"/>
          <w:b w:val="false"/>
          <w:i/>
          <w:color w:val="000000"/>
          <w:sz w:val="22"/>
        </w:rPr>
        <w:t xml:space="preserve">Special license eligibility. </w:t>
      </w:r>
      <w:r>
        <w:rPr>
          <w:rFonts w:ascii="Times New Roman" w:hAnsi="Times New Roman"/>
          <w:b w:val="false"/>
          <w:i w:val="false"/>
          <w:color w:val="000000"/>
          <w:sz w:val="22"/>
        </w:rPr>
        <w:t>To be eligible for a special license,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application requirements specified in subrule </w:t>
      </w:r>
      <w:hyperlink r:id="rId30">
        <w:r>
          <w:rPr>
            <w:rStyle w:val="Hyperlink"/>
            <w:rFonts w:ascii="Times New Roman" w:hAnsi="Times New Roman"/>
            <w:b w:val="false"/>
            <w:i w:val="false"/>
            <w:color w:val="000000"/>
            <w:sz w:val="22"/>
          </w:rPr>
          <w:t>653.4(3)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 physician in a medical specialty;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Present evidence of holding a medical degree from an educational institution that is located in a jurisdiction outside the United States or Canada and that is listed in the Directory of Medical Schools published by the International Medical Education Directory;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completed at least two years of postgraduate education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practiced for five years after postgraduate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Demonstrate proficiency in English by providing a valid ECFMG certificate or verification of a passing score on the Test of Spoken English (TSE) or the Test of English as a Foreign Language (TOEFL) examination administered by the Educational Testing Service or verification of a passing score on the OET medicine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Be licensed in a jurisdiction outside the United States or Canada and present evidence that any licenses held in any jurisdiction are unrestricted;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31">
        <w:r>
          <w:rPr>
            <w:rStyle w:val="Hyperlink"/>
            <w:rFonts w:ascii="Times New Roman" w:hAnsi="Times New Roman"/>
            <w:b w:val="false"/>
            <w:i w:val="false"/>
            <w:color w:val="000000"/>
            <w:sz w:val="22"/>
          </w:rPr>
          <w:t>481—subrule 652.3(3)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653.4(3)</w:t>
      </w:r>
      <w:r>
        <w:rPr>
          <w:rFonts w:ascii="Times New Roman" w:hAnsi="Times New Roman"/>
          <w:b w:val="false"/>
          <w:i w:val="false"/>
          <w:color w:val="000000"/>
          <w:sz w:val="22"/>
        </w:rPr>
        <w:t> </w:t>
      </w:r>
      <w:r>
        <w:rPr>
          <w:rFonts w:ascii="Times New Roman" w:hAnsi="Times New Roman"/>
          <w:b w:val="false"/>
          <w:i/>
          <w:color w:val="000000"/>
          <w:sz w:val="22"/>
        </w:rPr>
        <w:t xml:space="preserve">Special license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apply for a special license,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special license fee and a fee for the evaluation of the fingerprint packet and the criminal history background checks by the DCI and the FBI as specified in </w:t>
      </w:r>
      <w:hyperlink r:id="rId32">
        <w:r>
          <w:rPr>
            <w:rStyle w:val="Hyperlink"/>
            <w:rFonts w:ascii="Times New Roman" w:hAnsi="Times New Roman"/>
            <w:b w:val="false"/>
            <w:i w:val="false"/>
            <w:color w:val="000000"/>
            <w:sz w:val="22"/>
          </w:rPr>
          <w:t>481—paragraph 651.4(3)</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and submit forms provided by the board, including required credentials,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successful completion of a medical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a valid ECFMG certificate or verification of a passing score on the TSE or TOEFL examination administered by the Educational Testing Service or verification of a passing score on the OET medicine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Present a letter from the dean of the medical college in which the applicant will be practicing that indicates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been invited to serve on the academic staff of the medical school and in what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applicant’s qualifications and the unique contributions the applicant has made to the practice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unique contributions the applicant is expected to make by practicing in Iowa and how these contributions will serve the public interest of Iowans;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Present at least two letters of recommendation from universities, other educational institutions, or research facilities that indicate the applicant’s noteworthy professional attainment.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request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date and place of birth, home address,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photocopy of the applicant’s medical degree issued by an educational institution and a sworn statement from an official of the educational institution certifying the date the applicant received the medical degree and acknowledging what, if any, derogatory comments exist in the institution’s record about the applicant. A complete translation of any diploma not written in English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or professional regulatory authority, an educational institution, training or research program, or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653.4(4)</w:t>
      </w:r>
      <w:r>
        <w:rPr>
          <w:rFonts w:ascii="Times New Roman" w:hAnsi="Times New Roman"/>
          <w:b w:val="false"/>
          <w:i w:val="false"/>
          <w:color w:val="000000"/>
          <w:sz w:val="22"/>
        </w:rPr>
        <w:t> </w:t>
      </w:r>
      <w:r>
        <w:rPr>
          <w:rFonts w:ascii="Times New Roman" w:hAnsi="Times New Roman"/>
          <w:b w:val="false"/>
          <w:i/>
          <w:color w:val="000000"/>
          <w:sz w:val="22"/>
        </w:rPr>
        <w:t xml:space="preserve">Special license application review process. </w:t>
      </w:r>
      <w:r>
        <w:rPr>
          <w:rFonts w:ascii="Times New Roman" w:hAnsi="Times New Roman"/>
          <w:b w:val="false"/>
          <w:i w:val="false"/>
          <w:color w:val="000000"/>
          <w:sz w:val="22"/>
        </w:rPr>
        <w:t>The process below shall be utilized to review each application for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considered open from the date the application form is received in the board office with the nonrefundable special licensure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shall notify the applicant or the applicant’s academic institution about how to resolve any problems identified by the reviewer. The applicant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administratively grant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director of licensure and administration, and director of legal affairs shall determine if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shall administratively grant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shall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refer to the committee for review matters that include but are not limited to falsification of information on the application, criminal record, substance abuse, questionable competency, physical or mental illness, or educational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grant administratively a special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shall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special license for practice at the medical college designated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special license for practice at the medical college designated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license. The board may deny a license for any grounds on which the board may discipline a license. The procedure for appealing a license denial is set forth in rule </w:t>
      </w:r>
      <w:hyperlink r:id="rId33">
        <w:r>
          <w:rPr>
            <w:rStyle w:val="Hyperlink"/>
            <w:rFonts w:ascii="Times New Roman" w:hAnsi="Times New Roman"/>
            <w:b w:val="false"/>
            <w:i w:val="false"/>
            <w:color w:val="000000"/>
            <w:sz w:val="22"/>
          </w:rPr>
          <w:t>481—652.15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653.4(5)</w:t>
      </w:r>
      <w:r>
        <w:rPr>
          <w:rFonts w:ascii="Times New Roman" w:hAnsi="Times New Roman"/>
          <w:b w:val="false"/>
          <w:i w:val="false"/>
          <w:color w:val="000000"/>
          <w:sz w:val="22"/>
        </w:rPr>
        <w:t> </w:t>
      </w:r>
      <w:r>
        <w:rPr>
          <w:rFonts w:ascii="Times New Roman" w:hAnsi="Times New Roman"/>
          <w:b w:val="false"/>
          <w:i/>
          <w:color w:val="000000"/>
          <w:sz w:val="22"/>
        </w:rPr>
        <w:t xml:space="preserve">Special license application cycle. </w:t>
      </w:r>
      <w:r>
        <w:rPr>
          <w:rFonts w:ascii="Times New Roman" w:hAnsi="Times New Roman"/>
          <w:b w:val="false"/>
          <w:i w:val="false"/>
          <w:color w:val="000000"/>
          <w:sz w:val="22"/>
        </w:rPr>
        <w:t>If the applicant does not submit all materials within 90 days of the board’s initial request for further information, the application will be considered inactive. An applicant must reapply and submit a new nonrefundable application fee and a new application, documents and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653.4(6)</w:t>
      </w:r>
      <w:r>
        <w:rPr>
          <w:rFonts w:ascii="Times New Roman" w:hAnsi="Times New Roman"/>
          <w:b w:val="false"/>
          <w:i w:val="false"/>
          <w:color w:val="000000"/>
          <w:sz w:val="22"/>
        </w:rPr>
        <w:t> </w:t>
      </w:r>
      <w:r>
        <w:rPr>
          <w:rFonts w:ascii="Times New Roman" w:hAnsi="Times New Roman"/>
          <w:b w:val="false"/>
          <w:i/>
          <w:color w:val="000000"/>
          <w:sz w:val="22"/>
        </w:rPr>
        <w:t xml:space="preserve">Renewal of a special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special physician licensee has not qualified for and received a permanent license, the licensee must renew prior to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special physician licensee may apply for a one-year renewal by submitting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renewal fee as specified in </w:t>
      </w:r>
      <w:hyperlink r:id="rId34">
        <w:r>
          <w:rPr>
            <w:rStyle w:val="Hyperlink"/>
            <w:rFonts w:ascii="Times New Roman" w:hAnsi="Times New Roman"/>
            <w:b w:val="false"/>
            <w:i w:val="false"/>
            <w:color w:val="000000"/>
            <w:sz w:val="22"/>
          </w:rPr>
          <w:t>481—paragraph 651.4(3)</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continuing education and training on chronic pain management, end-of-life care, and identifying and reporting abuse as specified in </w:t>
      </w:r>
      <w:hyperlink r:id="rId35">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letter from the dean of the medical college that addresses the individual’s unique contribution to the practice of medicine in Iowa, how the anticipated contribution will serve the public interest of Iowans, and the need for renewal of this license. For a licensee who received the initial special license prior to July 1, 2001, the only statement needed from the dean is verification of the academic appointment the licensee continues to 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the licensee to renew a license within one month of the expiration date will cause the license to become inactive. A licensee whose license is inactive is prohibited from practice until a new special license is granted according to subrules </w:t>
      </w:r>
      <w:hyperlink r:id="rId36">
        <w:r>
          <w:rPr>
            <w:rStyle w:val="Hyperlink"/>
            <w:rFonts w:ascii="Times New Roman" w:hAnsi="Times New Roman"/>
            <w:b w:val="false"/>
            <w:i w:val="false"/>
            <w:color w:val="000000"/>
            <w:sz w:val="22"/>
          </w:rPr>
          <w:t>653.4(3)</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653.4(4)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i w:val="false"/>
          <w:color w:val="000000"/>
          <w:sz w:val="16"/>
        </w:rPr>
        <w:t>ARC 0465D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481—653.5</w:t>
      </w:r>
      <w:r>
        <w:rPr>
          <w:rFonts w:ascii="Times New Roman" w:hAnsi="Times New Roman"/>
          <w:b/>
          <w:i w:val="false"/>
          <w:color w:val="000000"/>
          <w:sz w:val="22"/>
        </w:rPr>
        <w:t xml:space="preserve">(147,148) </w:t>
      </w:r>
      <w:r>
        <w:rPr>
          <w:rFonts w:ascii="Times New Roman" w:hAnsi="Times New Roman"/>
          <w:b/>
          <w:i w:val="false"/>
          <w:color w:val="000000"/>
          <w:sz w:val="22"/>
        </w:rPr>
        <w:t xml:space="preserve">Temporary licensure. </w:t>
      </w:r>
      <w:r>
        <w:rPr>
          <w:rFonts w:ascii="Times New Roman" w:hAnsi="Times New Roman"/>
          <w:b w:val="false"/>
          <w:i w:val="false"/>
          <w:color w:val="000000"/>
          <w:sz w:val="22"/>
        </w:rPr>
        <w:t>The board may issue a temporary license authorizing a physician to participate in a board-approved activity in Iowa. Temporary licensure is granted on a case-by-case basis and depends upon the applicant’s education and training, experience and licensure status elsewhere and upon the intended use of the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653.5(1)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temporary license to practice is intended for a physician to participate in a board-approved activity, as defined in rule </w:t>
      </w:r>
      <w:hyperlink r:id="rId38">
        <w:r>
          <w:rPr>
            <w:rStyle w:val="Hyperlink"/>
            <w:rFonts w:ascii="Times New Roman" w:hAnsi="Times New Roman"/>
            <w:b w:val="false"/>
            <w:i w:val="false"/>
            <w:color w:val="000000"/>
            <w:sz w:val="22"/>
          </w:rPr>
          <w:t>481—653.1</w:t>
        </w:r>
      </w:hyperlink>
      <w:r>
        <w:rPr>
          <w:rFonts w:ascii="Times New Roman" w:hAnsi="Times New Roman"/>
          <w:b w:val="false"/>
          <w:i w:val="false"/>
          <w:color w:val="000000"/>
          <w:sz w:val="22"/>
        </w:rPr>
        <w:t>(147,148), in Iowa that is short-term. Temporary licensure is not intended for locum tenens.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may be restricted to the board-approved activity, location(s) or time period of up to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physician who is granted a temporary license for a board-approved activity may qualify for renewal of that license if the physician needs an extension of the license for the original purpose or to pursue more than one board-approved activity within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physician who wishes to continue in a board-approved activity in Iowa for short intervals beyond one year is eligible for a temporary license each year after reapplying and qualifying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incidentally called into this state in consultation with a physician and surgeon licensed in this state, as defined in rule </w:t>
      </w:r>
      <w:hyperlink r:id="rId39">
        <w:r>
          <w:rPr>
            <w:rStyle w:val="Hyperlink"/>
            <w:rFonts w:ascii="Times New Roman" w:hAnsi="Times New Roman"/>
            <w:b w:val="false"/>
            <w:i w:val="false"/>
            <w:color w:val="000000"/>
            <w:sz w:val="22"/>
          </w:rPr>
          <w:t>481—653.1</w:t>
        </w:r>
      </w:hyperlink>
      <w:r>
        <w:rPr>
          <w:rFonts w:ascii="Times New Roman" w:hAnsi="Times New Roman"/>
          <w:b w:val="false"/>
          <w:i w:val="false"/>
          <w:color w:val="000000"/>
          <w:sz w:val="22"/>
        </w:rPr>
        <w:t>(147,148), is not required to obtain a temporary license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take disciplinary action on a temporary license if the licensee has practiced outside the scope of the temporary license or for any of the grounds for which licensure may be revoked or suspended as specified in Iowa Code sections </w:t>
      </w:r>
      <w:hyperlink r:id="rId40">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xml:space="preserve">. Contested case proceedings shall be governed by the provisions of </w:t>
      </w:r>
      <w:hyperlink r:id="rId44">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physician who holds a temporary license must notify the board of any change in address within three days of making an address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physician who holds a temporary license must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file of a physician who holds a temporary license will be closed and labeled “deceased” when the board receives a copy of the physician’s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653.5(2)</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 eligibility. </w:t>
      </w:r>
      <w:r>
        <w:rPr>
          <w:rFonts w:ascii="Times New Roman" w:hAnsi="Times New Roman"/>
          <w:b w:val="false"/>
          <w:i w:val="false"/>
          <w:color w:val="000000"/>
          <w:sz w:val="22"/>
        </w:rPr>
        <w:t>To be eligible for a temporary license, an applicant must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requirements specified in subrules </w:t>
      </w:r>
      <w:hyperlink r:id="rId45">
        <w:r>
          <w:rPr>
            <w:rStyle w:val="Hyperlink"/>
            <w:rFonts w:ascii="Times New Roman" w:hAnsi="Times New Roman"/>
            <w:b w:val="false"/>
            <w:i w:val="false"/>
            <w:color w:val="000000"/>
            <w:sz w:val="22"/>
          </w:rPr>
          <w:t>653.5(3)</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653.5(4)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Hold a medical degree from an educational institution approved by the board (if the applicant is an international medical graduate, the educational institution must be listed in the International Medical Education Directory);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Hold a current active, unrestricted license to practice medicine issued by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fluent in the English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Present a letter justifying the need for temporary licensure from the organization or individual seeking the applicant’s participation in a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47">
        <w:r>
          <w:rPr>
            <w:rStyle w:val="Hyperlink"/>
            <w:rFonts w:ascii="Times New Roman" w:hAnsi="Times New Roman"/>
            <w:b w:val="false"/>
            <w:i w:val="false"/>
            <w:color w:val="000000"/>
            <w:sz w:val="22"/>
          </w:rPr>
          <w:t>481—subrule 652.3(3)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653.5(3)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 temporary license. </w:t>
      </w:r>
      <w:r>
        <w:rPr>
          <w:rFonts w:ascii="Times New Roman" w:hAnsi="Times New Roman"/>
          <w:b w:val="false"/>
          <w:i w:val="false"/>
          <w:color w:val="000000"/>
          <w:sz w:val="22"/>
        </w:rPr>
        <w:t>To apply for a temporary license,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initial application fee and fee for the evaluation of the fingerprint packet and the criminal history background checks by the DCI and the FBI as specified in </w:t>
      </w:r>
      <w:hyperlink r:id="rId48">
        <w:r>
          <w:rPr>
            <w:rStyle w:val="Hyperlink"/>
            <w:rFonts w:ascii="Times New Roman" w:hAnsi="Times New Roman"/>
            <w:b w:val="false"/>
            <w:i w:val="false"/>
            <w:color w:val="000000"/>
            <w:sz w:val="22"/>
          </w:rPr>
          <w:t>481—paragraph 651.4(4)</w:t>
        </w:r>
        <w:r>
          <w:rPr>
            <w:rFonts w:ascii="Times New Roman" w:hAnsi="Times New Roman"/>
            <w:b w:val="false"/>
            <w:i/>
            <w:color w:val="000000"/>
            <w:sz w:val="22"/>
          </w:rPr>
          <w:t>“a.”</w:t>
        </w:r>
      </w:hyperlink>
      <w:r>
        <w:rPr>
          <w:rFonts w:ascii="Times New Roman" w:hAnsi="Times New Roman"/>
          <w:b w:val="false"/>
          <w:i w:val="false"/>
          <w:color w:val="000000"/>
          <w:sz w:val="22"/>
        </w:rPr>
        <w:t xml:space="preserve"> A physician who is serving as a camp physician and who is not receiving payment other than expenses shall be exempt from the license application fee and the fee for the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and submit forms provided by the board, including required credentials, documents, a completed fingerprint packet and a sworn statement by the applicant attesting to the truth of all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653.5(4)</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require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full legal name, date and place of birth, home address, mailing address and principal business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the applicant’s license number and date of issuance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by the applicant that discloses and explains any warnings issued, investigations conducted, or disciplinary actions taken, whether by voluntary agreement or formal action, by a medical or professional regulatory authority, an educational institution, training or research program, or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statement from the applicant that justifies the need for a temporary license, including where the applicant intends to practice and the type of practice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letter from the Iowa organization or individual seeking the applicant’s services that explains the need for the applicant’s participation in the board-approved activity in Iowa, the time period involved, the scope of practice, and the exact location and facilities where the board-approved activity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For an international medical graduate who does not hold a license in good standing in any United States jurisdiction, a statement, which shall be submitted by the Iowa organization or individual offering the board-approved activity, identifying who the applicant’s immediate supervisor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For an international medical graduate who does not hold a license in good standing in any United States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which shall be submitted from the licensing authority of the country in which the physician is licensed, that the physician has a license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Evidence of fluency in the English language;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For a resident physician who does not hold a current, active resident or permanent license in the home state of the resident training program, a statement, which shall be submitted by the resident director or individual offering the board-approved activity, identifying who the applicant’s immediate supervisor will be;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653.5(5)</w:t>
      </w:r>
      <w:r>
        <w:rPr>
          <w:rFonts w:ascii="Times New Roman" w:hAnsi="Times New Roman"/>
          <w:b w:val="false"/>
          <w:i w:val="false"/>
          <w:color w:val="000000"/>
          <w:sz w:val="22"/>
        </w:rPr>
        <w:t> </w:t>
      </w:r>
      <w:r>
        <w:rPr>
          <w:rFonts w:ascii="Times New Roman" w:hAnsi="Times New Roman"/>
          <w:b w:val="false"/>
          <w:i/>
          <w:color w:val="000000"/>
          <w:sz w:val="22"/>
        </w:rPr>
        <w:t xml:space="preserve">Standard application review process for a temporary license. </w:t>
      </w:r>
      <w:r>
        <w:rPr>
          <w:rFonts w:ascii="Times New Roman" w:hAnsi="Times New Roman"/>
          <w:b w:val="false"/>
          <w:i w:val="false"/>
          <w:color w:val="000000"/>
          <w:sz w:val="22"/>
        </w:rPr>
        <w:t xml:space="preserve">The standard review process shall be utilized to review each application for a temporary license, except that the process identified in subrule </w:t>
      </w:r>
      <w:hyperlink r:id="rId49">
        <w:r>
          <w:rPr>
            <w:rStyle w:val="Hyperlink"/>
            <w:rFonts w:ascii="Times New Roman" w:hAnsi="Times New Roman"/>
            <w:b w:val="false"/>
            <w:i w:val="false"/>
            <w:color w:val="000000"/>
            <w:sz w:val="22"/>
          </w:rPr>
          <w:t>653.5(6)</w:t>
        </w:r>
      </w:hyperlink>
      <w:r>
        <w:rPr>
          <w:rFonts w:ascii="Times New Roman" w:hAnsi="Times New Roman"/>
          <w:b w:val="false"/>
          <w:i w:val="false"/>
          <w:color w:val="000000"/>
          <w:sz w:val="22"/>
        </w:rPr>
        <w:t xml:space="preserve"> shall be used for any international medical graduate who does not currently hold a license in good standing in any United States jurisdiction or for any physician who seeks temporary licensure for an activity not listed in paragraphs “1” through “6” of the definition of “board-approved activity” in rule </w:t>
      </w:r>
      <w:hyperlink r:id="rId50">
        <w:r>
          <w:rPr>
            <w:rStyle w:val="Hyperlink"/>
            <w:rFonts w:ascii="Times New Roman" w:hAnsi="Times New Roman"/>
            <w:b w:val="false"/>
            <w:i w:val="false"/>
            <w:color w:val="000000"/>
            <w:sz w:val="22"/>
          </w:rPr>
          <w:t>481—653.1</w:t>
        </w:r>
      </w:hyperlink>
      <w:r>
        <w:rPr>
          <w:rFonts w:ascii="Times New Roman" w:hAnsi="Times New Roman"/>
          <w:b w:val="false"/>
          <w:i w:val="false"/>
          <w:color w:val="000000"/>
          <w:sz w:val="22"/>
        </w:rPr>
        <w:t>(147,148). The standard application review process is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considered open from the date the application form and the nonrefundable fees are received in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shall notify the applicant or designee about how to resolve any problems identified by the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temporary licensure or the need for a temporary licensee, staff may administratively grant a temporary license to the applicant for a specific activity, location(s) or specified duration based on the nature of the board-approved activity. The license shall not be granted for a period longer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then the executive director, the director of licensure and administration, and the director of legal affairs shall determine if the questions or concerns indicate any uncertainty about the applicant’s current qualifications for temporary licensure or the organization’s or requesting individual’s need for a licensee with a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shall administratively grant a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shall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shall refer to the committee for review matters that include but are not limited to falsification of information on the application, criminal record, malpractice, substance abuse, competency, physical or mental illness, educational disciplinary history, or questionable need on the part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administratively grant a temporary license for a specific activity, location(s) or specified duration based on the nature of the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shall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for a specific activity, location(s) or specified duration based on the nature of the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Deny a temporary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temporary licensure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for a specific activity, location(s) or specified duration based on the nature of the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temporary licensure application. The request shall not imply that the applicant is ineligible for permanent licensure if that application process is pursued;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temporary license. The board may deny a temporary license for any grounds on which the board may discipline a license or for lack of need for a physician’s services by the organization or individual. The procedure for appealing a license denial is set forth in rule </w:t>
      </w:r>
      <w:hyperlink r:id="rId51">
        <w:r>
          <w:rPr>
            <w:rStyle w:val="Hyperlink"/>
            <w:rFonts w:ascii="Times New Roman" w:hAnsi="Times New Roman"/>
            <w:b w:val="false"/>
            <w:i w:val="false"/>
            <w:color w:val="000000"/>
            <w:sz w:val="22"/>
          </w:rPr>
          <w:t>481—652.17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653.5(6)</w:t>
      </w:r>
      <w:r>
        <w:rPr>
          <w:rFonts w:ascii="Times New Roman" w:hAnsi="Times New Roman"/>
          <w:b w:val="false"/>
          <w:i w:val="false"/>
          <w:color w:val="000000"/>
          <w:sz w:val="22"/>
        </w:rPr>
        <w:t> </w:t>
      </w:r>
      <w:r>
        <w:rPr>
          <w:rFonts w:ascii="Times New Roman" w:hAnsi="Times New Roman"/>
          <w:b w:val="false"/>
          <w:i/>
          <w:color w:val="000000"/>
          <w:sz w:val="22"/>
        </w:rPr>
        <w:t xml:space="preserve">Application review process for applicants with certain exceptions. </w:t>
      </w:r>
      <w:r>
        <w:rPr>
          <w:rFonts w:ascii="Times New Roman" w:hAnsi="Times New Roman"/>
          <w:b w:val="false"/>
          <w:i w:val="false"/>
          <w:color w:val="000000"/>
          <w:sz w:val="22"/>
        </w:rPr>
        <w:t xml:space="preserve">This application process shall be used to review applications submitted by an international medical graduate who does not currently hold a license in good standing in any United States jurisdiction or by a physician seeking temporary licensure for an activity not listed in paragraphs “1” through “6” of the definition of “board-approved activity” in rule </w:t>
      </w:r>
      <w:hyperlink r:id="rId52">
        <w:r>
          <w:rPr>
            <w:rStyle w:val="Hyperlink"/>
            <w:rFonts w:ascii="Times New Roman" w:hAnsi="Times New Roman"/>
            <w:b w:val="false"/>
            <w:i w:val="false"/>
            <w:color w:val="000000"/>
            <w:sz w:val="22"/>
          </w:rPr>
          <w:t>481—653.1</w:t>
        </w:r>
      </w:hyperlink>
      <w:r>
        <w:rPr>
          <w:rFonts w:ascii="Times New Roman" w:hAnsi="Times New Roman"/>
          <w:b w:val="false"/>
          <w:i w:val="false"/>
          <w:color w:val="000000"/>
          <w:sz w:val="22"/>
        </w:rPr>
        <w:t>(147,148). Following is the application review process for applicants with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considered open from the date the application form and the nonrefundable fees are received in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shall notify the applicant or designee about how to resolve any problems identified by the reviewer.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temporary licensure or the need for a temporary license, staff shall submit the application to the committee for review and recommendation to the board about whether to grant a temporary license to the physician and whether the license should be granted for a specific activity, location(s) or specified duration based on the nature of the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shall consider applications and recommendations from the committee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for a specific activity, location(s) or specified duration based on the nature of the board-approved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temporary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temporary licensure application. The request shall not imply that the applicant is ineligible for permanent licensure if that application process is pursued;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temporary license. The board may deny a temporary license for any grounds on which the board may discipline a license or for lack of need for a physician’s services by the organization or individual. The procedure for appealing a license denial is set forth in rule </w:t>
      </w:r>
      <w:hyperlink r:id="rId53">
        <w:r>
          <w:rPr>
            <w:rStyle w:val="Hyperlink"/>
            <w:rFonts w:ascii="Times New Roman" w:hAnsi="Times New Roman"/>
            <w:b w:val="false"/>
            <w:i w:val="false"/>
            <w:color w:val="000000"/>
            <w:sz w:val="22"/>
          </w:rPr>
          <w:t>481—652.17</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653.5(7)</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 application cycle. </w:t>
      </w:r>
      <w:r>
        <w:rPr>
          <w:rFonts w:ascii="Times New Roman" w:hAnsi="Times New Roman"/>
          <w:b w:val="false"/>
          <w:i w:val="false"/>
          <w:color w:val="000000"/>
          <w:sz w:val="22"/>
        </w:rPr>
        <w:t>If the applicant does not submit all materials within 90 days of the board’s initial request for further information, the application will be considered inactive. An applicant whose application is inactive must reapply and submit new nonrefundable fees and a new application, documents and credentials if the applicant wishes to pursue temporary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653.5(8)</w:t>
      </w:r>
      <w:r>
        <w:rPr>
          <w:rFonts w:ascii="Times New Roman" w:hAnsi="Times New Roman"/>
          <w:b w:val="false"/>
          <w:i w:val="false"/>
          <w:color w:val="000000"/>
          <w:sz w:val="22"/>
        </w:rPr>
        <w:t> </w:t>
      </w:r>
      <w:r>
        <w:rPr>
          <w:rFonts w:ascii="Times New Roman" w:hAnsi="Times New Roman"/>
          <w:b w:val="false"/>
          <w:i/>
          <w:color w:val="000000"/>
          <w:sz w:val="22"/>
        </w:rPr>
        <w:t xml:space="preserve">Renewal of a temporary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apply for renewal of a temporary license, the licensee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request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renewal fee as specified in </w:t>
      </w:r>
      <w:hyperlink r:id="rId54">
        <w:r>
          <w:rPr>
            <w:rStyle w:val="Hyperlink"/>
            <w:rFonts w:ascii="Times New Roman" w:hAnsi="Times New Roman"/>
            <w:b w:val="false"/>
            <w:i w:val="false"/>
            <w:color w:val="000000"/>
            <w:sz w:val="22"/>
          </w:rPr>
          <w:t>481—paragraph 651.4(4)</w:t>
        </w:r>
      </w:hyperlink>
      <w:r>
        <w:rPr>
          <w:rFonts w:ascii="Times New Roman" w:hAnsi="Times New Roman"/>
          <w:b w:val="false"/>
          <w:i/>
          <w:color w:val="000000"/>
          <w:sz w:val="22"/>
        </w:rPr>
        <w:t>“b”</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justification for the renewal from the organization or individual seeking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of the licensee to renew a license by the expiration date will cause the license to become inactive. The individual shall not practice in Iowa until securing a permanent medical license or until becoming eligible for a second temporary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481—653.6</w:t>
      </w:r>
      <w:r>
        <w:rPr>
          <w:rFonts w:ascii="Times New Roman" w:hAnsi="Times New Roman"/>
          <w:b/>
          <w:i w:val="false"/>
          <w:color w:val="000000"/>
          <w:sz w:val="22"/>
        </w:rPr>
        <w:t xml:space="preserve">(147,148,148J) </w:t>
      </w:r>
      <w:r>
        <w:rPr>
          <w:rFonts w:ascii="Times New Roman" w:hAnsi="Times New Roman"/>
          <w:b/>
          <w:i w:val="false"/>
          <w:color w:val="000000"/>
          <w:sz w:val="22"/>
        </w:rPr>
        <w:t xml:space="preserve">Provisional licensure for foreign medical graduates.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grant a provisional license to a foreign medical graduate who meets the qualifications provided in Iowa Code chapter </w:t>
      </w:r>
      <w:hyperlink r:id="rId55">
        <w:r>
          <w:rPr>
            <w:rStyle w:val="Hyperlink"/>
            <w:rFonts w:ascii="Times New Roman" w:hAnsi="Times New Roman"/>
            <w:b w:val="false"/>
            <w:i w:val="false"/>
            <w:color w:val="000000"/>
            <w:sz w:val="22"/>
          </w:rPr>
          <w:t>148J</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provisional license may be issued for a period of not more than one year and may be renewed annually prior to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provisional license will specifically limit the licensee to practice at the health care facility that provided the foreign medical graduate with the offer of employment as required by Iowa Code chapter </w:t>
      </w:r>
      <w:hyperlink r:id="rId56">
        <w:r>
          <w:rPr>
            <w:rStyle w:val="Hyperlink"/>
            <w:rFonts w:ascii="Times New Roman" w:hAnsi="Times New Roman"/>
            <w:b w:val="false"/>
            <w:i w:val="false"/>
            <w:color w:val="000000"/>
            <w:sz w:val="22"/>
          </w:rPr>
          <w:t>148J</w:t>
        </w:r>
      </w:hyperlink>
      <w:r>
        <w:rPr>
          <w:rFonts w:ascii="Times New Roman" w:hAnsi="Times New Roman"/>
          <w:b w:val="false"/>
          <w:i w:val="false"/>
          <w:color w:val="000000"/>
          <w:sz w:val="22"/>
        </w:rPr>
        <w:t xml:space="preserve"> to qualify for this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cancel a provisional license if the licensee has practiced outside the scope of this license, the licensee’s employment is terminated with the health care facility who offered the licensee employment to qualify for the provisional license, or the licensee ceases to have an eligible immigration status for employment in the United States of America or for any of the grounds for which licensure may be revoked or suspended as specified in Iowa Code sections </w:t>
      </w:r>
      <w:hyperlink r:id="rId57">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148.6</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481—Chapter 661</w:t>
        </w:r>
      </w:hyperlink>
      <w:r>
        <w:rPr>
          <w:rFonts w:ascii="Times New Roman" w:hAnsi="Times New Roman"/>
          <w:b w:val="false"/>
          <w:i w:val="false"/>
          <w:color w:val="000000"/>
          <w:sz w:val="22"/>
        </w:rPr>
        <w:t xml:space="preserve">. When cancellation of such license is proposed, the board will promptly notify the licensee by serving a statement of charges and notice of hearing upon the licensee pursuant to </w:t>
      </w:r>
      <w:hyperlink r:id="rId61">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This contested case proceeding shall be governed by the provisions of </w:t>
      </w:r>
      <w:hyperlink r:id="rId6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must notify the board of any change in the licensee’s home address or the address of the place of practice within one month of making an address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must notify the board of any change in name within one month of making the name change. Notification requires a notarized copy of a marriage license or a notarized copy of court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file will be closed and labeled “deceased” when the board receives a copy of the physician’s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653.6(2)</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eligibility. </w:t>
      </w:r>
      <w:r>
        <w:rPr>
          <w:rFonts w:ascii="Times New Roman" w:hAnsi="Times New Roman"/>
          <w:b w:val="false"/>
          <w:i w:val="false"/>
          <w:color w:val="000000"/>
          <w:sz w:val="22"/>
        </w:rPr>
        <w:t>To be eligible for a provisional license, an applicant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application requirements specified in subrule </w:t>
      </w:r>
      <w:hyperlink r:id="rId63">
        <w:r>
          <w:rPr>
            <w:rStyle w:val="Hyperlink"/>
            <w:rFonts w:ascii="Times New Roman" w:hAnsi="Times New Roman"/>
            <w:b w:val="false"/>
            <w:i w:val="false"/>
            <w:color w:val="000000"/>
            <w:sz w:val="22"/>
          </w:rPr>
          <w:t>653.6(3)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Present evidence of holding a medical degree from an international medical program in good standing. This can be achieved in the following two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international medical program the licensee successfully completed is approved by the ECFMG;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presenting sufficient evidence to the board that the international medical program the applicant completed is substantially similar to the requirements of the LCME;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in good standing with and have no pending discipline before the licensing or regulatory institution in the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practice in medicine and surgery or osteopathic medicine and surgery as a licensed physician for five years following the completion of a residency or substantially similar postgraduate medical training. The applicant can demonstrate the postgraduate medical training is substantially similar to a residency in the following two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residency or postgraduate training is approved by the ACGME, AOA, RCPSC, or CFPC;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By presenting sufficient evidence to the board that the residency or postgraduate training is substantially similar to the requirements of one of the four agencies listed in subparagraph </w:t>
      </w:r>
      <w:hyperlink r:id="rId64">
        <w:r>
          <w:rPr>
            <w:rStyle w:val="Hyperlink"/>
            <w:rFonts w:ascii="Times New Roman" w:hAnsi="Times New Roman"/>
            <w:b w:val="false"/>
            <w:i w:val="false"/>
            <w:color w:val="000000"/>
            <w:sz w:val="22"/>
          </w:rPr>
          <w:t>653.6(2)</w:t>
        </w:r>
      </w:hyperlink>
      <w:r>
        <w:rPr>
          <w:rFonts w:ascii="Times New Roman" w:hAnsi="Times New Roman"/>
          <w:b w:val="false"/>
          <w:i/>
          <w:color w:val="000000"/>
          <w:sz w:val="22"/>
        </w:rPr>
        <w:t>“e”</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Demonstrate proficiency in English by providing a valid ECFMG certificate or verification of a passing score on the TSE or TOEFL examination administered by the Educational Testing Service or verification of a passing score on the OET medicine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licensed in a jurisdiction outside the United States or Canada and present evidence that any licenses held in any jurisdiction are unrestricted;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license is not denied by the board due to the commission of a disqualifying offense, as provided in </w:t>
      </w:r>
      <w:hyperlink r:id="rId65">
        <w:r>
          <w:rPr>
            <w:rStyle w:val="Hyperlink"/>
            <w:rFonts w:ascii="Times New Roman" w:hAnsi="Times New Roman"/>
            <w:b w:val="false"/>
            <w:i w:val="false"/>
            <w:color w:val="000000"/>
            <w:sz w:val="22"/>
          </w:rPr>
          <w:t>481—subrule 652.3(3)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Have a passing score in all steps of the USMLE.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653.6(3)</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To apply for a provisional license, an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 a nonrefundable special license fee and a fee for the evaluation of the fingerprint packet and the criminal history background checks by the DCI and the FBI as specified in </w:t>
      </w:r>
      <w:hyperlink r:id="rId66">
        <w:r>
          <w:rPr>
            <w:rStyle w:val="Hyperlink"/>
            <w:rFonts w:ascii="Times New Roman" w:hAnsi="Times New Roman"/>
            <w:b w:val="false"/>
            <w:i w:val="false"/>
            <w:color w:val="000000"/>
            <w:sz w:val="22"/>
          </w:rPr>
          <w:t>481—paragraph 651.4(3)</w:t>
        </w:r>
      </w:hyperlink>
      <w:r>
        <w:rPr>
          <w:rFonts w:ascii="Times New Roman" w:hAnsi="Times New Roman"/>
          <w:b w:val="false"/>
          <w:i/>
          <w:color w:val="000000"/>
          <w:sz w:val="22"/>
        </w:rPr>
        <w:t>“a”</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Complete and submit forms provided by the board, including required credentials, documents, a completed fingerprint packet, and a sworn statement by the applicant attesting to the truth of all the information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a sworn statement from the director or the director’s designee of the medical licensing or regulatory institution in the individual’s resident country that the applicant’s license is in good standing and is not subject to any pending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a certified record from the national policy agency in the individual’s resident country of a complete criminal history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successful completion of a medical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a valid ECFMG certificate or verification of a passing score on the TSE or TOEFL examination administered by the Educational Testing Service or verification of a passing score on the OET medicine test;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 a sworn statement and supporting documents from the health care facility offering employment to the provisional licensee applicant that the facility has had the applicant’s immigration status reviewed by a licensed attorney of this jurisdiction and a determination was made that the applicant has proper immigration status for employment in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 request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date and place of birth, home address,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chronology accounting for all time periods from the date the applicant entered medical school to the date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photocopy of the applicant’s medical degree issued by an educational institution and a sworn statement from an official of the educational institution certifying the date the applicant received the medical degree and acknowledging what, if any, derogatory comments exist in the institution’s record about the applicant. A complete translation of any diploma not written in English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warnings issued, investigations conducted, or disciplinary actions taken, whether by voluntary agreement or formal action, by a medical or professional regulatory authority, educational institution, training or research program, or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is pending to have the conviction or plea set aside;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completed fingerprint packet to facilitate a national criminal history background check. The fee for the evaluation of the fingerprint packet and the DCI and FBI criminal history background checks will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653.6(4)</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application review process. </w:t>
      </w:r>
      <w:r>
        <w:rPr>
          <w:rFonts w:ascii="Times New Roman" w:hAnsi="Times New Roman"/>
          <w:b w:val="false"/>
          <w:i w:val="false"/>
          <w:color w:val="000000"/>
          <w:sz w:val="22"/>
        </w:rPr>
        <w:t>The process below shall be utilized to review each application for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is considered open from the date the application form is received in the board office with the nonrefundable provisional licensure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reviewing each application, staff will notify the applicant or the health care facility offering the applicant employment about how to resolve any problems identified by the reviewer. The applicant shall provide additional information when requested by staff or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no questions or concerns regarding the applicant’s qualifications for licensure, staff may administratively grant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final review indicates questions or concerns that cannot be remedied by continued communication with the applicant, the executive director, director of licensure and administration, and director of legal affairs will determine whether the questions or concerns indicate any uncertainty about the applicant’s current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there is no current concern, staff will administratively grant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any concern exists, the application will be referred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Staff will refer to the committee for review matters that include but are not limited to falsification of information on the application, criminal record, substance abuse, questionable competency, physical or mental illness, or educational disciplinary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committee is able to eliminate questions or concerns without dissension from staff or a committee member, the committee may direct staff to administratively grant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committee is not able to eliminate questions or concerns without dissension from staff or a committee member, the committee will recommend that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provisional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board will consider applications and recommendations from the committee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appear for an interview;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Grant a provisional license for practice at the medical college designated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Grant a license under certain terms and conditions or with certain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 that the applicant withdraw the licensure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Deny a license. The board may deny a license for any grounds on which the board may discipline a license. The procedure for appealing a license denial is set forth in rule </w:t>
      </w:r>
      <w:hyperlink r:id="rId67">
        <w:r>
          <w:rPr>
            <w:rStyle w:val="Hyperlink"/>
            <w:rFonts w:ascii="Times New Roman" w:hAnsi="Times New Roman"/>
            <w:b w:val="false"/>
            <w:i w:val="false"/>
            <w:color w:val="000000"/>
            <w:sz w:val="22"/>
          </w:rPr>
          <w:t>481—652.15</w:t>
        </w:r>
      </w:hyperlink>
      <w:r>
        <w:rPr>
          <w:rFonts w:ascii="Times New Roman" w:hAnsi="Times New Roman"/>
          <w:b w:val="false"/>
          <w:i w:val="false"/>
          <w:color w:val="000000"/>
          <w:sz w:val="22"/>
        </w:rPr>
        <w:t>(147,148).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653.6(5)</w:t>
      </w:r>
      <w:r>
        <w:rPr>
          <w:rFonts w:ascii="Times New Roman" w:hAnsi="Times New Roman"/>
          <w:b w:val="false"/>
          <w:i w:val="false"/>
          <w:color w:val="000000"/>
          <w:sz w:val="22"/>
        </w:rPr>
        <w:t> </w:t>
      </w:r>
      <w:r>
        <w:rPr>
          <w:rFonts w:ascii="Times New Roman" w:hAnsi="Times New Roman"/>
          <w:b w:val="false"/>
          <w:i/>
          <w:color w:val="000000"/>
          <w:sz w:val="22"/>
        </w:rPr>
        <w:t xml:space="preserve">Provisional license application cycle. </w:t>
      </w:r>
      <w:r>
        <w:rPr>
          <w:rFonts w:ascii="Times New Roman" w:hAnsi="Times New Roman"/>
          <w:b w:val="false"/>
          <w:i w:val="false"/>
          <w:color w:val="000000"/>
          <w:sz w:val="22"/>
        </w:rPr>
        <w:t>If the applicant does not submit all materials within 90 days of the board’s initial request for further information, the application will be considered inactive. An applicant must reapply and submit a new nonrefundable application fee and a new application, new documents and new credentials.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653.6(6)</w:t>
      </w:r>
      <w:r>
        <w:rPr>
          <w:rFonts w:ascii="Times New Roman" w:hAnsi="Times New Roman"/>
          <w:b w:val="false"/>
          <w:i w:val="false"/>
          <w:color w:val="000000"/>
          <w:sz w:val="22"/>
        </w:rPr>
        <w:t> </w:t>
      </w:r>
      <w:r>
        <w:rPr>
          <w:rFonts w:ascii="Times New Roman" w:hAnsi="Times New Roman"/>
          <w:b w:val="false"/>
          <w:i/>
          <w:color w:val="000000"/>
          <w:sz w:val="22"/>
        </w:rPr>
        <w:t xml:space="preserve">Renewal of a provisional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provisional licensee has not qualified for and received a permanent license, the licensee must renew prior to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provisional licensee may apply for a one-year renewal by submitting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renewal fee as specified in </w:t>
      </w:r>
      <w:hyperlink r:id="rId68">
        <w:r>
          <w:rPr>
            <w:rStyle w:val="Hyperlink"/>
            <w:rFonts w:ascii="Times New Roman" w:hAnsi="Times New Roman"/>
            <w:b w:val="false"/>
            <w:i w:val="false"/>
            <w:color w:val="000000"/>
            <w:sz w:val="22"/>
          </w:rPr>
          <w:t>481—paragraph 651.4(3)</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continuing education and training on chronic pain management, end-of-life care, and identifying and reporting abuse as specified in </w:t>
      </w:r>
      <w:hyperlink r:id="rId69">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letter from the chief medical officer for the health care facility employing the licensee that addresses the individual’s fitness to the practice of medicine in Iowa, how the anticipated contribution will serve the public interest of Iowans, and the need for renewal of this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the licensee to renew a license within one month of the expiration date will cause the license to become inactive. A licensee whose license is inactive is prohibited from practice until a new provisional license is granted according to subrules </w:t>
      </w:r>
      <w:hyperlink r:id="rId70">
        <w:r>
          <w:rPr>
            <w:rStyle w:val="Hyperlink"/>
            <w:rFonts w:ascii="Times New Roman" w:hAnsi="Times New Roman"/>
            <w:b w:val="false"/>
            <w:i w:val="false"/>
            <w:color w:val="000000"/>
            <w:sz w:val="22"/>
          </w:rPr>
          <w:t>653.4(3)</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653.4(4)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653.6(7)</w:t>
      </w:r>
      <w:r>
        <w:rPr>
          <w:rFonts w:ascii="Times New Roman" w:hAnsi="Times New Roman"/>
          <w:b w:val="false"/>
          <w:i w:val="false"/>
          <w:color w:val="000000"/>
          <w:sz w:val="22"/>
        </w:rPr>
        <w:t> </w:t>
      </w:r>
      <w:r>
        <w:rPr>
          <w:rFonts w:ascii="Times New Roman" w:hAnsi="Times New Roman"/>
          <w:b w:val="false"/>
          <w:i/>
          <w:color w:val="000000"/>
          <w:sz w:val="22"/>
        </w:rPr>
        <w:t xml:space="preserve">Conversion of a provisional license to a full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three consecutive years of holding a provisional license in good standing, the provisional licensee may apply to have the licensee’s license converted to a full license to practice medicine and surgery or osteopathic medicine and surgery, provided the license has not been revoked pursuant to Iowa Code section </w:t>
      </w:r>
      <w:hyperlink r:id="rId72">
        <w:r>
          <w:rPr>
            <w:rStyle w:val="Hyperlink"/>
            <w:rFonts w:ascii="Times New Roman" w:hAnsi="Times New Roman"/>
            <w:b w:val="false"/>
            <w:i w:val="false"/>
            <w:color w:val="000000"/>
            <w:sz w:val="22"/>
          </w:rPr>
          <w:t>148J.2</w:t>
        </w:r>
      </w:hyperlink>
      <w:r>
        <w:rPr>
          <w:rFonts w:ascii="Times New Roman" w:hAnsi="Times New Roman"/>
          <w:b w:val="false"/>
          <w:i w:val="false"/>
          <w:color w:val="000000"/>
          <w:sz w:val="22"/>
        </w:rPr>
        <w:t>. The provisional licensee may alternatively elect to continue to renew the licensee’s provisional license on a yearly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provisional licensee shall make application to the board for conversion of the licensee’s provisional license using the application form provided by the board. The application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renewal fee as specified in </w:t>
      </w:r>
      <w:hyperlink r:id="rId73">
        <w:r>
          <w:rPr>
            <w:rStyle w:val="Hyperlink"/>
            <w:rFonts w:ascii="Times New Roman" w:hAnsi="Times New Roman"/>
            <w:b w:val="false"/>
            <w:i w:val="false"/>
            <w:color w:val="000000"/>
            <w:sz w:val="22"/>
          </w:rPr>
          <w:t>481—paragraph 651.4(3)</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of continuing education and training on chronic pain management, end-of-life care, and identifying and reporting abuse as specified in </w:t>
      </w:r>
      <w:hyperlink r:id="rId74">
        <w:r>
          <w:rPr>
            <w:rStyle w:val="Hyperlink"/>
            <w:rFonts w:ascii="Times New Roman" w:hAnsi="Times New Roman"/>
            <w:b w:val="false"/>
            <w:i w:val="false"/>
            <w:color w:val="000000"/>
            <w:sz w:val="22"/>
          </w:rPr>
          <w:t>481—Chapter 654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letter, submitted by the chief medical officer for the health care facility employing the licensee, that addresses the individual’s fitness to practice medicine in Iowa, how the anticipated contribution will serve the public interest of Iowans, and the need for renewal of this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 updated criminal background check as described in subrule </w:t>
      </w:r>
      <w:hyperlink r:id="rId75">
        <w:r>
          <w:rPr>
            <w:rStyle w:val="Hyperlink"/>
            <w:rFonts w:ascii="Times New Roman" w:hAnsi="Times New Roman"/>
            <w:b w:val="false"/>
            <w:i w:val="false"/>
            <w:color w:val="000000"/>
            <w:sz w:val="22"/>
          </w:rPr>
          <w:t>653.6(3)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informal or nonpublic actions, warnings issued, investigations conducted, or disciplinary actions taken, whether by voluntary agreement or formal action, by a medical or professional regulatory authority, an educational institution, a training or research program, or a health facility in any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the applicant’s involvement in civil litigation related to the practice in any jurisdiction.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disclosing and explaining any charge of a misdemeanor or felony involving the applicant filed in any jurisdiction, whether or not any appeal or other proceeding to have the conviction or plea set aside is pending. Copies of the legal documents may be requested if needed during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full legal name, date and place of birth, home address, mailing address, principal business address, and personal email address regularly used by the applicant or licensee for correspondence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statement listing every jurisdiction in which the applicant is or has been authorized to practice, including license numbers and dates of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9113C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 xml:space="preserve">; </w:t>
      </w:r>
      <w:r>
        <w:rPr>
          <w:rFonts w:ascii="Times New Roman" w:hAnsi="Times New Roman"/>
          <w:b/>
          <w:i w:val="false"/>
          <w:color w:val="000000"/>
          <w:sz w:val="16"/>
        </w:rPr>
        <w:t>ARC 0465D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7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148J</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3/14/02, Notice 1/23/02—published 4/3/02, effective 5/8/02]</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6/6/02, Notice 5/1/02—published 6/26/02, effective 7/31/02]</w:t>
      </w:r>
    </w:p>
    <w:p>
      <w:pPr>
        <w:spacing w:before="0" w:after="0"/>
        <w:ind w:left="120"/>
        <w:jc w:val="center"/>
      </w:pPr>
      <w:r>
        <w:rPr>
          <w:rFonts w:ascii="Times New Roman" w:hAnsi="Times New Roman"/>
          <w:b w:val="false"/>
          <w:i w:val="false"/>
          <w:color w:val="000000"/>
          <w:sz w:val="21"/>
        </w:rPr>
        <w:t>[Filed 10/10/02, Notice 7/10/02—published 10/30/02, effective 12/4/02]</w:t>
      </w:r>
    </w:p>
    <w:p>
      <w:pPr>
        <w:spacing w:before="0" w:after="0"/>
        <w:ind w:left="120"/>
        <w:jc w:val="center"/>
      </w:pPr>
      <w:r>
        <w:rPr>
          <w:rFonts w:ascii="Times New Roman" w:hAnsi="Times New Roman"/>
          <w:b w:val="false"/>
          <w:i w:val="false"/>
          <w:color w:val="000000"/>
          <w:sz w:val="21"/>
        </w:rPr>
        <w:t>[Filed emergency 2/7/03 after Notice 1/8/03—published 3/5/03, effective 2/7/03]</w:t>
      </w:r>
    </w:p>
    <w:p>
      <w:pPr>
        <w:spacing w:before="0" w:after="0"/>
        <w:ind w:left="120"/>
        <w:jc w:val="center"/>
      </w:pPr>
      <w:r>
        <w:rPr>
          <w:rFonts w:ascii="Times New Roman" w:hAnsi="Times New Roman"/>
          <w:b w:val="false"/>
          <w:i w:val="false"/>
          <w:color w:val="000000"/>
          <w:sz w:val="21"/>
        </w:rPr>
        <w:t>[Filed 12/4/03, Notice 10/15/03—published 12/24/03, effective 1/28/04]</w:t>
      </w:r>
    </w:p>
    <w:p>
      <w:pPr>
        <w:spacing w:before="0" w:after="0"/>
        <w:ind w:left="120"/>
        <w:jc w:val="center"/>
      </w:pPr>
      <w:r>
        <w:rPr>
          <w:rFonts w:ascii="Times New Roman" w:hAnsi="Times New Roman"/>
          <w:b w:val="false"/>
          <w:i w:val="false"/>
          <w:color w:val="000000"/>
          <w:sz w:val="21"/>
        </w:rPr>
        <w:t>[Filed 7/16/04, Notice 6/9/04—published 8/4/04, effective 9/8/04]</w:t>
      </w:r>
    </w:p>
    <w:p>
      <w:pPr>
        <w:spacing w:before="0" w:after="0"/>
        <w:ind w:left="120"/>
        <w:jc w:val="center"/>
      </w:pPr>
      <w:r>
        <w:rPr>
          <w:rFonts w:ascii="Times New Roman" w:hAnsi="Times New Roman"/>
          <w:b w:val="false"/>
          <w:i w:val="false"/>
          <w:color w:val="000000"/>
          <w:sz w:val="21"/>
        </w:rPr>
        <w:t>[Filed 6/17/05, Notice 5/11/05—published 7/6/05, effective 8/10/05]</w:t>
      </w:r>
    </w:p>
    <w:p>
      <w:pPr>
        <w:spacing w:before="0" w:after="0"/>
        <w:ind w:left="120"/>
        <w:jc w:val="center"/>
      </w:pPr>
      <w:r>
        <w:rPr>
          <w:rFonts w:ascii="Times New Roman" w:hAnsi="Times New Roman"/>
          <w:b w:val="false"/>
          <w:i w:val="false"/>
          <w:color w:val="000000"/>
          <w:sz w:val="21"/>
        </w:rPr>
        <w:t>[Filed emergency 8/30/05 after Notice 7/6/05—published 9/28/05, effective 10/1/05]</w:t>
      </w:r>
    </w:p>
    <w:p>
      <w:pPr>
        <w:spacing w:before="0" w:after="0"/>
        <w:ind w:left="120"/>
        <w:jc w:val="center"/>
      </w:pPr>
      <w:r>
        <w:rPr>
          <w:rFonts w:ascii="Times New Roman" w:hAnsi="Times New Roman"/>
          <w:b w:val="false"/>
          <w:i w:val="false"/>
          <w:color w:val="000000"/>
          <w:sz w:val="21"/>
        </w:rPr>
        <w:t>[Filed 10/12/06, Notice 8/2/06—published 11/8/06, effective 1/1/07]</w:t>
      </w:r>
    </w:p>
    <w:p>
      <w:pPr>
        <w:spacing w:before="0" w:after="0"/>
        <w:ind w:left="120"/>
        <w:jc w:val="center"/>
      </w:pPr>
      <w:r>
        <w:rPr>
          <w:rFonts w:ascii="Times New Roman" w:hAnsi="Times New Roman"/>
          <w:b w:val="false"/>
          <w:i w:val="false"/>
          <w:color w:val="000000"/>
          <w:sz w:val="21"/>
        </w:rPr>
        <w:t>[Filed 12/14/06, Notice 11/8/06—published 1/17/07, effective 2/21/07]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2/8/07 after Notice 1/3/07—published 2/28/07, effective 3/1/07]</w:t>
      </w:r>
    </w:p>
    <w:p>
      <w:pPr>
        <w:spacing w:before="0" w:after="0"/>
        <w:ind w:left="120"/>
        <w:jc w:val="center"/>
      </w:pPr>
      <w:r>
        <w:rPr>
          <w:rFonts w:ascii="Times New Roman" w:hAnsi="Times New Roman"/>
          <w:b w:val="false"/>
          <w:i w:val="false"/>
          <w:color w:val="000000"/>
          <w:sz w:val="21"/>
        </w:rPr>
        <w:t>[Filed emergency 11/21/07 after Notice 10/10/07—published 12/19/07, effective 1/1/08]</w:t>
      </w:r>
    </w:p>
    <w:p>
      <w:pPr>
        <w:spacing w:before="0" w:after="0"/>
        <w:ind w:left="120"/>
        <w:jc w:val="center"/>
      </w:pPr>
      <w:r>
        <w:rPr>
          <w:rFonts w:ascii="Times New Roman" w:hAnsi="Times New Roman"/>
          <w:b w:val="false"/>
          <w:i w:val="false"/>
          <w:color w:val="000000"/>
          <w:sz w:val="21"/>
        </w:rPr>
        <w:t>[Filed 4/3/08, Notice 2/13/08—published 4/23/08, effective 5/28/08]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0216C</w:t>
      </w:r>
      <w:r>
        <w:rPr>
          <w:rFonts w:ascii="Times New Roman" w:hAnsi="Times New Roman"/>
          <w:b w:val="false"/>
          <w:i w:val="false"/>
          <w:color w:val="000000"/>
          <w:sz w:val="21"/>
        </w:rPr>
        <w:t xml:space="preserve"> (Notice ARC 0091C, IAB 4/18/12)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1187C</w:t>
      </w:r>
      <w:r>
        <w:rPr>
          <w:rFonts w:ascii="Times New Roman" w:hAnsi="Times New Roman"/>
          <w:b w:val="false"/>
          <w:i w:val="false"/>
          <w:color w:val="000000"/>
          <w:sz w:val="21"/>
        </w:rPr>
        <w:t xml:space="preserve"> (Notice ARC 0943C,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5600C</w:t>
      </w:r>
      <w:r>
        <w:rPr>
          <w:rFonts w:ascii="Times New Roman" w:hAnsi="Times New Roman"/>
          <w:b w:val="false"/>
          <w:i w:val="false"/>
          <w:color w:val="000000"/>
          <w:sz w:val="21"/>
        </w:rPr>
        <w:t xml:space="preserve"> (Notice ARC 5370C, IAB 12/30/20)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5749C</w:t>
      </w:r>
      <w:r>
        <w:rPr>
          <w:rFonts w:ascii="Times New Roman" w:hAnsi="Times New Roman"/>
          <w:b w:val="false"/>
          <w:i w:val="false"/>
          <w:color w:val="000000"/>
          <w:sz w:val="21"/>
        </w:rPr>
        <w:t xml:space="preserve"> (Notice ARC 5473C,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9113C</w:t>
      </w:r>
      <w:r>
        <w:rPr>
          <w:rFonts w:ascii="Times New Roman" w:hAnsi="Times New Roman"/>
          <w:b w:val="false"/>
          <w:i w:val="false"/>
          <w:color w:val="000000"/>
          <w:sz w:val="21"/>
        </w:rPr>
        <w:t xml:space="preserve"> (Notice ARC 8700C, IAB 12/25/24)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[Editorial change: IAC Supplement 6/11/25]</w:t>
      </w:r>
    </w:p>
    <w:p>
      <w:pPr>
        <w:spacing w:before="0" w:after="0"/>
        <w:ind w:left="120"/>
        <w:jc w:val="center"/>
      </w:pPr>
      <w:r>
        <w:rPr>
          <w:rFonts w:ascii="Times New Roman" w:hAnsi="Times New Roman"/>
          <w:b w:val="false"/>
          <w:i w:val="false"/>
          <w:color w:val="000000"/>
          <w:sz w:val="21"/>
        </w:rPr>
        <w:t>[Filed ARC 0465D</w:t>
      </w:r>
      <w:r>
        <w:rPr>
          <w:rFonts w:ascii="Times New Roman" w:hAnsi="Times New Roman"/>
          <w:b w:val="false"/>
          <w:i w:val="false"/>
          <w:color w:val="000000"/>
          <w:sz w:val="21"/>
        </w:rPr>
        <w:t xml:space="preserve"> (Notice ARC 0202D, IAB 4/15/26)</w:t>
      </w:r>
      <w:r>
        <w:rPr>
          <w:rFonts w:ascii="Times New Roman" w:hAnsi="Times New Roman"/>
          <w:b w:val="false"/>
          <w:i w:val="false"/>
          <w:color w:val="000000"/>
          <w:sz w:val="21"/>
        </w:rPr>
        <w:t>, IAB 8/5/26, effective 9/9/26]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8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2.pdf" Type="http://schemas.openxmlformats.org/officeDocument/2006/relationships/hyperlink" Id="rId5"/>
    <Relationship TargetMode="External" Target="https://www.legis.iowa.gov/docs/iac/chapter/481.654.pdf" Type="http://schemas.openxmlformats.org/officeDocument/2006/relationships/hyperlink" Id="rId6"/>
    <Relationship TargetMode="External" Target="https://www.legis.iowa.gov/docs/iac/chapter/481.654.pdf" Type="http://schemas.openxmlformats.org/officeDocument/2006/relationships/hyperlink" Id="rId7"/>
    <Relationship TargetMode="External" Target="https://www.legis.iowa.gov/docs/ico/chapter/148.1.pdf" Type="http://schemas.openxmlformats.org/officeDocument/2006/relationships/hyperlink" Id="rId8"/>
    <Relationship TargetMode="External" Target="https://www.legis.iowa.gov/docs/iac/rule/481.652.2.pdf" Type="http://schemas.openxmlformats.org/officeDocument/2006/relationships/hyperlink" Id="rId9"/>
    <Relationship TargetMode="External" Target="https://www.legis.iowa.gov/docs/iac/rule/653.653.3.pdf" Type="http://schemas.openxmlformats.org/officeDocument/2006/relationships/hyperlink" Id="rId10"/>
    <Relationship TargetMode="External" Target="https://www.legis.iowa.gov/docs/iac/rule/481.653.5.pdf" Type="http://schemas.openxmlformats.org/officeDocument/2006/relationships/hyperlink" Id="rId11"/>
    <Relationship TargetMode="External" Target="https://www.legis.iowa.gov/docs/iac/rule/653.653.3.pdf" Type="http://schemas.openxmlformats.org/officeDocument/2006/relationships/hyperlink" Id="rId12"/>
    <Relationship TargetMode="External" Target="https://www.legis.iowa.gov/docs/iac/rule/481.652.3.pdf" Type="http://schemas.openxmlformats.org/officeDocument/2006/relationships/hyperlink" Id="rId13"/>
    <Relationship TargetMode="External" Target="https://www.legis.iowa.gov/docs/iac/rule/481.651.4.pdf" Type="http://schemas.openxmlformats.org/officeDocument/2006/relationships/hyperlink" Id="rId14"/>
    <Relationship TargetMode="External" Target="https://www.legis.iowa.gov/docs/iac/rule/481.652.15.pdf" Type="http://schemas.openxmlformats.org/officeDocument/2006/relationships/hyperlink" Id="rId15"/>
    <Relationship TargetMode="External" Target="https://www.legis.iowa.gov/docs/iac/rule/481.651.4.pdf" Type="http://schemas.openxmlformats.org/officeDocument/2006/relationships/hyperlink" Id="rId16"/>
    <Relationship TargetMode="External" Target="https://www.legis.iowa.gov/docs/iac/rule/481.651.4.pdf" Type="http://schemas.openxmlformats.org/officeDocument/2006/relationships/hyperlink" Id="rId17"/>
    <Relationship TargetMode="External" Target="https://www.legis.iowa.gov/docs/iac/rule/481.651.4.pdf" Type="http://schemas.openxmlformats.org/officeDocument/2006/relationships/hyperlink" Id="rId18"/>
    <Relationship TargetMode="External" Target="https://www.legis.iowa.gov/docs/iac/rule/653.653.3.pdf" Type="http://schemas.openxmlformats.org/officeDocument/2006/relationships/hyperlink" Id="rId19"/>
    <Relationship TargetMode="External" Target="https://www.legis.iowa.gov/docs/iac/rule/481.652.15.pdf" Type="http://schemas.openxmlformats.org/officeDocument/2006/relationships/hyperlink" Id="rId20"/>
    <Relationship TargetMode="External" Target="https://www.legis.iowa.gov/docs/ico/chapter/147.55.pdf" Type="http://schemas.openxmlformats.org/officeDocument/2006/relationships/hyperlink" Id="rId21"/>
    <Relationship TargetMode="External" Target="https://www.legis.iowa.gov/docs/ico/chapter/148.6.pdf" Type="http://schemas.openxmlformats.org/officeDocument/2006/relationships/hyperlink" Id="rId22"/>
    <Relationship TargetMode="External" Target="https://www.legis.iowa.gov/docs/ico/chapter/272C.pdf" Type="http://schemas.openxmlformats.org/officeDocument/2006/relationships/hyperlink" Id="rId23"/>
    <Relationship TargetMode="External" Target="https://www.legis.iowa.gov/docs/iac/chapter/481.661.pdf" Type="http://schemas.openxmlformats.org/officeDocument/2006/relationships/hyperlink" Id="rId24"/>
    <Relationship TargetMode="External" Target="https://www.legis.iowa.gov/docs/ico/chapter/147.55.pdf" Type="http://schemas.openxmlformats.org/officeDocument/2006/relationships/hyperlink" Id="rId25"/>
    <Relationship TargetMode="External" Target="https://www.legis.iowa.gov/docs/ico/chapter/148.6.pdf" Type="http://schemas.openxmlformats.org/officeDocument/2006/relationships/hyperlink" Id="rId26"/>
    <Relationship TargetMode="External" Target="https://www.legis.iowa.gov/docs/ico/chapter/272C.10.pdf" Type="http://schemas.openxmlformats.org/officeDocument/2006/relationships/hyperlink" Id="rId27"/>
    <Relationship TargetMode="External" Target="https://www.legis.iowa.gov/docs/iac/chapter/481.661.pdf" Type="http://schemas.openxmlformats.org/officeDocument/2006/relationships/hyperlink" Id="rId28"/>
    <Relationship TargetMode="External" Target="https://www.legis.iowa.gov/docs/iac/chapter/481.506.pdf" Type="http://schemas.openxmlformats.org/officeDocument/2006/relationships/hyperlink" Id="rId29"/>
    <Relationship TargetMode="External" Target="https://www.legis.iowa.gov/docs/iac/rule/653.653.4.pdf" Type="http://schemas.openxmlformats.org/officeDocument/2006/relationships/hyperlink" Id="rId30"/>
    <Relationship TargetMode="External" Target="https://www.legis.iowa.gov/docs/iac/rule/481.652.3.pdf" Type="http://schemas.openxmlformats.org/officeDocument/2006/relationships/hyperlink" Id="rId31"/>
    <Relationship TargetMode="External" Target="https://www.legis.iowa.gov/docs/iac/rule/481.651.4.pdf" Type="http://schemas.openxmlformats.org/officeDocument/2006/relationships/hyperlink" Id="rId32"/>
    <Relationship TargetMode="External" Target="https://www.legis.iowa.gov/docs/iac/rule/481.652.15.pdf" Type="http://schemas.openxmlformats.org/officeDocument/2006/relationships/hyperlink" Id="rId33"/>
    <Relationship TargetMode="External" Target="https://www.legis.iowa.gov/docs/iac/rule/481.651.4.pdf" Type="http://schemas.openxmlformats.org/officeDocument/2006/relationships/hyperlink" Id="rId34"/>
    <Relationship TargetMode="External" Target="https://www.legis.iowa.gov/docs/iac/chapter/481.654.pdf" Type="http://schemas.openxmlformats.org/officeDocument/2006/relationships/hyperlink" Id="rId35"/>
    <Relationship TargetMode="External" Target="https://www.legis.iowa.gov/docs/iac/rule/653.653.4.pdf" Type="http://schemas.openxmlformats.org/officeDocument/2006/relationships/hyperlink" Id="rId36"/>
    <Relationship TargetMode="External" Target="https://www.legis.iowa.gov/docs/iac/rule/653.653.4.pdf" Type="http://schemas.openxmlformats.org/officeDocument/2006/relationships/hyperlink" Id="rId37"/>
    <Relationship TargetMode="External" Target="https://www.legis.iowa.gov/docs/iac/rule/481.653.1.pdf" Type="http://schemas.openxmlformats.org/officeDocument/2006/relationships/hyperlink" Id="rId38"/>
    <Relationship TargetMode="External" Target="https://www.legis.iowa.gov/docs/iac/rule/481.653.1.pdf" Type="http://schemas.openxmlformats.org/officeDocument/2006/relationships/hyperlink" Id="rId39"/>
    <Relationship TargetMode="External" Target="https://www.legis.iowa.gov/docs/ico/chapter/147.55.pdf" Type="http://schemas.openxmlformats.org/officeDocument/2006/relationships/hyperlink" Id="rId40"/>
    <Relationship TargetMode="External" Target="https://www.legis.iowa.gov/docs/ico/chapter/148.6.pdf" Type="http://schemas.openxmlformats.org/officeDocument/2006/relationships/hyperlink" Id="rId41"/>
    <Relationship TargetMode="External" Target="https://www.legis.iowa.gov/docs/ico/chapter/272C.10.pdf" Type="http://schemas.openxmlformats.org/officeDocument/2006/relationships/hyperlink" Id="rId42"/>
    <Relationship TargetMode="External" Target="https://www.legis.iowa.gov/docs/iac/chapter/481.661.pdf" Type="http://schemas.openxmlformats.org/officeDocument/2006/relationships/hyperlink" Id="rId43"/>
    <Relationship TargetMode="External" Target="https://www.legis.iowa.gov/docs/iac/chapter/481.506.pdf" Type="http://schemas.openxmlformats.org/officeDocument/2006/relationships/hyperlink" Id="rId44"/>
    <Relationship TargetMode="External" Target="https://www.legis.iowa.gov/docs/iac/rule/653.653.5.pdf" Type="http://schemas.openxmlformats.org/officeDocument/2006/relationships/hyperlink" Id="rId45"/>
    <Relationship TargetMode="External" Target="https://www.legis.iowa.gov/docs/iac/rule/653.653.5.pdf" Type="http://schemas.openxmlformats.org/officeDocument/2006/relationships/hyperlink" Id="rId46"/>
    <Relationship TargetMode="External" Target="https://www.legis.iowa.gov/docs/iac/rule/481.652.3.pdf" Type="http://schemas.openxmlformats.org/officeDocument/2006/relationships/hyperlink" Id="rId47"/>
    <Relationship TargetMode="External" Target="https://www.legis.iowa.gov/docs/iac/rule/481.651.4.pdf" Type="http://schemas.openxmlformats.org/officeDocument/2006/relationships/hyperlink" Id="rId48"/>
    <Relationship TargetMode="External" Target="https://www.legis.iowa.gov/docs/iac/rule/653.653.5.pdf" Type="http://schemas.openxmlformats.org/officeDocument/2006/relationships/hyperlink" Id="rId49"/>
    <Relationship TargetMode="External" Target="https://www.legis.iowa.gov/docs/iac/rule/481.653.1.pdf" Type="http://schemas.openxmlformats.org/officeDocument/2006/relationships/hyperlink" Id="rId50"/>
    <Relationship TargetMode="External" Target="https://www.legis.iowa.gov/docs/iac/rule/481.652.17.pdf" Type="http://schemas.openxmlformats.org/officeDocument/2006/relationships/hyperlink" Id="rId51"/>
    <Relationship TargetMode="External" Target="https://www.legis.iowa.gov/docs/iac/rule/481.653.1.pdf" Type="http://schemas.openxmlformats.org/officeDocument/2006/relationships/hyperlink" Id="rId52"/>
    <Relationship TargetMode="External" Target="https://www.legis.iowa.gov/docs/iac/rule/481.652.17.pdf" Type="http://schemas.openxmlformats.org/officeDocument/2006/relationships/hyperlink" Id="rId53"/>
    <Relationship TargetMode="External" Target="https://www.legis.iowa.gov/docs/iac/rule/481.651.4.pdf" Type="http://schemas.openxmlformats.org/officeDocument/2006/relationships/hyperlink" Id="rId54"/>
    <Relationship TargetMode="External" Target="https://www.legis.iowa.gov/docs/ico/chapter/148J.pdf" Type="http://schemas.openxmlformats.org/officeDocument/2006/relationships/hyperlink" Id="rId55"/>
    <Relationship TargetMode="External" Target="https://www.legis.iowa.gov/docs/ico/chapter/148J.pdf" Type="http://schemas.openxmlformats.org/officeDocument/2006/relationships/hyperlink" Id="rId56"/>
    <Relationship TargetMode="External" Target="https://www.legis.iowa.gov/docs/ico/chapter/147.55.pdf" Type="http://schemas.openxmlformats.org/officeDocument/2006/relationships/hyperlink" Id="rId57"/>
    <Relationship TargetMode="External" Target="https://www.legis.iowa.gov/docs/ico/chapter/148.6.pdf" Type="http://schemas.openxmlformats.org/officeDocument/2006/relationships/hyperlink" Id="rId58"/>
    <Relationship TargetMode="External" Target="https://www.legis.iowa.gov/docs/ico/chapter/272C.10.pdf" Type="http://schemas.openxmlformats.org/officeDocument/2006/relationships/hyperlink" Id="rId59"/>
    <Relationship TargetMode="External" Target="https://www.legis.iowa.gov/docs/iac/chapter/481.661.pdf" Type="http://schemas.openxmlformats.org/officeDocument/2006/relationships/hyperlink" Id="rId60"/>
    <Relationship TargetMode="External" Target="https://www.legis.iowa.gov/docs/iac/chapter/481.506.pdf" Type="http://schemas.openxmlformats.org/officeDocument/2006/relationships/hyperlink" Id="rId61"/>
    <Relationship TargetMode="External" Target="https://www.legis.iowa.gov/docs/iac/chapter/481.506.pdf" Type="http://schemas.openxmlformats.org/officeDocument/2006/relationships/hyperlink" Id="rId62"/>
    <Relationship TargetMode="External" Target="https://www.legis.iowa.gov/docs/iac/rule/653.653.6.pdf" Type="http://schemas.openxmlformats.org/officeDocument/2006/relationships/hyperlink" Id="rId63"/>
    <Relationship TargetMode="External" Target="https://www.legis.iowa.gov/docs/iac/rule/653.653.6.pdf" Type="http://schemas.openxmlformats.org/officeDocument/2006/relationships/hyperlink" Id="rId64"/>
    <Relationship TargetMode="External" Target="https://www.legis.iowa.gov/docs/iac/rule/481.652.3.pdf" Type="http://schemas.openxmlformats.org/officeDocument/2006/relationships/hyperlink" Id="rId65"/>
    <Relationship TargetMode="External" Target="https://www.legis.iowa.gov/docs/iac/rule/481.651.4.pdf" Type="http://schemas.openxmlformats.org/officeDocument/2006/relationships/hyperlink" Id="rId66"/>
    <Relationship TargetMode="External" Target="https://www.legis.iowa.gov/docs/iac/rule/481.652.15.pdf" Type="http://schemas.openxmlformats.org/officeDocument/2006/relationships/hyperlink" Id="rId67"/>
    <Relationship TargetMode="External" Target="https://www.legis.iowa.gov/docs/iac/rule/481.651.4.pdf" Type="http://schemas.openxmlformats.org/officeDocument/2006/relationships/hyperlink" Id="rId68"/>
    <Relationship TargetMode="External" Target="https://www.legis.iowa.gov/docs/iac/chapter/481.654.pdf" Type="http://schemas.openxmlformats.org/officeDocument/2006/relationships/hyperlink" Id="rId69"/>
    <Relationship TargetMode="External" Target="https://www.legis.iowa.gov/docs/iac/rule/653.653.4.pdf" Type="http://schemas.openxmlformats.org/officeDocument/2006/relationships/hyperlink" Id="rId70"/>
    <Relationship TargetMode="External" Target="https://www.legis.iowa.gov/docs/iac/rule/653.653.4.pdf" Type="http://schemas.openxmlformats.org/officeDocument/2006/relationships/hyperlink" Id="rId71"/>
    <Relationship TargetMode="External" Target="https://www.legis.iowa.gov/docs/ico/chapter/148J.2.pdf" Type="http://schemas.openxmlformats.org/officeDocument/2006/relationships/hyperlink" Id="rId72"/>
    <Relationship TargetMode="External" Target="https://www.legis.iowa.gov/docs/iac/rule/481.651.4.pdf" Type="http://schemas.openxmlformats.org/officeDocument/2006/relationships/hyperlink" Id="rId73"/>
    <Relationship TargetMode="External" Target="https://www.legis.iowa.gov/docs/iac/chapter/481.654.pdf" Type="http://schemas.openxmlformats.org/officeDocument/2006/relationships/hyperlink" Id="rId74"/>
    <Relationship TargetMode="External" Target="https://www.legis.iowa.gov/docs/iac/rule/653.653.6.pdf" Type="http://schemas.openxmlformats.org/officeDocument/2006/relationships/hyperlink" Id="rId75"/>
    <Relationship TargetMode="External" Target="https://www.legis.iowa.gov/docs/ico/chapter/17A.pdf" Type="http://schemas.openxmlformats.org/officeDocument/2006/relationships/hyperlink" Id="rId76"/>
    <Relationship TargetMode="External" Target="https://www.legis.iowa.gov/docs/ico/chapter/147.pdf" Type="http://schemas.openxmlformats.org/officeDocument/2006/relationships/hyperlink" Id="rId77"/>
    <Relationship TargetMode="External" Target="https://www.legis.iowa.gov/docs/ico/chapter/148.pdf" Type="http://schemas.openxmlformats.org/officeDocument/2006/relationships/hyperlink" Id="rId78"/>
    <Relationship TargetMode="External" Target="https://www.legis.iowa.gov/docs/ico/chapter/148J.pdf" Type="http://schemas.openxmlformats.org/officeDocument/2006/relationships/hyperlink" Id="rId79"/>
    <Relationship TargetMode="External" Target="https://www.legis.iowa.gov/docs/ico/chapter/272C.pdf" Type="http://schemas.openxmlformats.org/officeDocument/2006/relationships/hyperlink" Id="rId80"/>
    <Relationship Target="footer.xml" Type="http://schemas.openxmlformats.org/officeDocument/2006/relationships/footer" Id="rId8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