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621</w:t>
      </w:r>
    </w:p>
    <w:p>
      <w:pPr>
        <w:spacing w:before="0" w:after="0"/>
        <w:ind w:left="120"/>
        <w:jc w:val="center"/>
      </w:pPr>
      <w:r>
        <w:rPr>
          <w:rFonts w:ascii="Times New Roman" w:hAnsi="Times New Roman"/>
          <w:b w:val="false"/>
          <w:i w:val="false"/>
          <w:color w:val="000000"/>
          <w:sz w:val="21"/>
        </w:rPr>
        <w:t>ADVANCED REGISTERED NURSE PRACTITIONERS</w:t>
      </w:r>
    </w:p>
    <w:p>
      <w:pPr>
        <w:spacing w:before="0" w:after="0"/>
        <w:ind w:left="120"/>
        <w:jc w:val="center"/>
      </w:pPr>
      <w:r>
        <w:rPr>
          <w:rFonts w:ascii="Times New Roman" w:hAnsi="Times New Roman"/>
          <w:b w:val="false"/>
          <w:i w:val="false"/>
          <w:color w:val="000000"/>
          <w:sz w:val="20"/>
        </w:rPr>
        <w:t>[Prior to 8/26/87, Nursing Board[590] Ch 7]</w:t>
      </w:r>
    </w:p>
    <w:p>
      <w:pPr>
        <w:spacing w:before="0" w:after="0"/>
        <w:ind w:left="120"/>
        <w:jc w:val="center"/>
      </w:pPr>
      <w:r>
        <w:rPr>
          <w:rFonts w:ascii="Times New Roman" w:hAnsi="Times New Roman"/>
          <w:b w:val="false"/>
          <w:i w:val="false"/>
          <w:color w:val="000000"/>
          <w:sz w:val="20"/>
        </w:rPr>
        <w:t>[Prior to 6/11/25, see Nursing Board[655] 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481—621.1</w:t>
      </w:r>
      <w:r>
        <w:rPr>
          <w:rFonts w:ascii="Times New Roman" w:hAnsi="Times New Roman"/>
          <w:b/>
          <w:i w:val="false"/>
          <w:color w:val="000000"/>
          <w:sz w:val="22"/>
        </w:rPr>
        <w:t xml:space="preserve">(17A,124,147,152)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“Advanced registered nurse practitioner”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“ARNP”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is currently licensed as a registered nurse under Iowa Code chapter </w:t>
      </w:r>
      <w:hyperlink r:id="rId5">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who is licensed by the board as an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“Asynchronous store-and-forward transmission”</w:t>
      </w:r>
      <w:r>
        <w:rPr>
          <w:rFonts w:ascii="Times New Roman" w:hAnsi="Times New Roman"/>
          <w:b w:val="false"/>
          <w:i w:val="false"/>
          <w:color w:val="000000"/>
          <w:sz w:val="22"/>
        </w:rPr>
        <w:t> </w:t>
      </w:r>
      <w:r>
        <w:rPr>
          <w:rFonts w:ascii="Times New Roman" w:hAnsi="Times New Roman"/>
          <w:b w:val="false"/>
          <w:i w:val="false"/>
          <w:color w:val="000000"/>
          <w:sz w:val="22"/>
        </w:rPr>
        <w:t>means the collection of a patient’s relevant health information and the subsequent transmission of the data from an originating site to a health care provider at a distant site without the presence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as used in this chapter means the Iowa board of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“Collaboration”</w:t>
      </w:r>
      <w:r>
        <w:rPr>
          <w:rFonts w:ascii="Times New Roman" w:hAnsi="Times New Roman"/>
          <w:b w:val="false"/>
          <w:i w:val="false"/>
          <w:color w:val="000000"/>
          <w:sz w:val="22"/>
        </w:rPr>
        <w:t> </w:t>
      </w:r>
      <w:r>
        <w:rPr>
          <w:rFonts w:ascii="Times New Roman" w:hAnsi="Times New Roman"/>
          <w:b w:val="false"/>
          <w:i w:val="false"/>
          <w:color w:val="000000"/>
          <w:sz w:val="22"/>
        </w:rPr>
        <w:t>is the process whereby an ARNP and physician jointly manage the care of a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“Controlled substance”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drug in Schedules II through V of subchapter II of Iowa Code chapter </w:t>
      </w:r>
      <w:hyperlink r:id="rId7">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“Cross-coverage”</w:t>
      </w:r>
      <w:r>
        <w:rPr>
          <w:rFonts w:ascii="Times New Roman" w:hAnsi="Times New Roman"/>
          <w:b w:val="false"/>
          <w:i w:val="false"/>
          <w:color w:val="000000"/>
          <w:sz w:val="22"/>
        </w:rPr>
        <w:t> </w:t>
      </w:r>
      <w:r>
        <w:rPr>
          <w:rFonts w:ascii="Times New Roman" w:hAnsi="Times New Roman"/>
          <w:b w:val="false"/>
          <w:i w:val="false"/>
          <w:color w:val="000000"/>
          <w:sz w:val="22"/>
        </w:rPr>
        <w:t>means a licensee who engages in a remote evaluation of a patient, without in-person contact, at the request of another licensed health care provider who has established a proper practitioner-patient relationship with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“Dispense”</w:t>
      </w:r>
      <w:r>
        <w:rPr>
          <w:rFonts w:ascii="Times New Roman" w:hAnsi="Times New Roman"/>
          <w:b w:val="false"/>
          <w:i w:val="false"/>
          <w:color w:val="000000"/>
          <w:sz w:val="22"/>
        </w:rPr>
        <w:t> </w:t>
      </w:r>
      <w:r>
        <w:rPr>
          <w:rFonts w:ascii="Times New Roman" w:hAnsi="Times New Roman"/>
          <w:b w:val="false"/>
          <w:i w:val="false"/>
          <w:color w:val="000000"/>
          <w:sz w:val="22"/>
        </w:rPr>
        <w:t>means to provide a prescription drug to a patient for self-use outside of the ARNP’s practice location. “Dispense” does not include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 individual licensed by the board as an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“National professional certification organization”</w:t>
      </w:r>
      <w:r>
        <w:rPr>
          <w:rFonts w:ascii="Times New Roman" w:hAnsi="Times New Roman"/>
          <w:b w:val="false"/>
          <w:i w:val="false"/>
          <w:color w:val="000000"/>
          <w:sz w:val="22"/>
        </w:rPr>
        <w:t> </w:t>
      </w:r>
      <w:r>
        <w:rPr>
          <w:rFonts w:ascii="Times New Roman" w:hAnsi="Times New Roman"/>
          <w:b w:val="false"/>
          <w:i w:val="false"/>
          <w:color w:val="000000"/>
          <w:sz w:val="22"/>
        </w:rPr>
        <w:t>means the American Academy of Nurse Practitioners, the American Association of Critical Care Nurses, the American Midwifery Certification Board, the American Nurses Credentialing Center, the National Board of Certification and Recertification for Nurse Anesthetists, the National Certification Corporation, and the Pediatric Nursing Certification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“On call”</w:t>
      </w:r>
      <w:r>
        <w:rPr>
          <w:rFonts w:ascii="Times New Roman" w:hAnsi="Times New Roman"/>
          <w:b w:val="false"/>
          <w:i w:val="false"/>
          <w:color w:val="000000"/>
          <w:sz w:val="22"/>
        </w:rPr>
        <w:t> </w:t>
      </w:r>
      <w:r>
        <w:rPr>
          <w:rFonts w:ascii="Times New Roman" w:hAnsi="Times New Roman"/>
          <w:b w:val="false"/>
          <w:i w:val="false"/>
          <w:color w:val="000000"/>
          <w:sz w:val="22"/>
        </w:rPr>
        <w:t>means a licensee is available, where necessary, to attend to the urgent and follow-up needs of a patient for whom the licensee has temporarily assumed responsibility, as designated by the patient’s primary care licensee or other health care provider of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“Opioid”</w:t>
      </w:r>
      <w:r>
        <w:rPr>
          <w:rFonts w:ascii="Times New Roman" w:hAnsi="Times New Roman"/>
          <w:b w:val="false"/>
          <w:i w:val="false"/>
          <w:color w:val="000000"/>
          <w:sz w:val="22"/>
        </w:rPr>
        <w:t> </w:t>
      </w:r>
      <w:r>
        <w:rPr>
          <w:rFonts w:ascii="Times New Roman" w:hAnsi="Times New Roman"/>
          <w:b w:val="false"/>
          <w:i w:val="false"/>
          <w:color w:val="000000"/>
          <w:sz w:val="22"/>
        </w:rPr>
        <w:t>means a drug that produces an agonist effect on opioid receptors and is indicated or used for the treatment of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“Prescription monitoring program database”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“PMP database”</w:t>
      </w:r>
      <w:r>
        <w:rPr>
          <w:rFonts w:ascii="Times New Roman" w:hAnsi="Times New Roman"/>
          <w:b w:val="false"/>
          <w:i w:val="false"/>
          <w:color w:val="000000"/>
          <w:sz w:val="22"/>
        </w:rPr>
        <w:t> </w:t>
      </w:r>
      <w:r>
        <w:rPr>
          <w:rFonts w:ascii="Times New Roman" w:hAnsi="Times New Roman"/>
          <w:b w:val="false"/>
          <w:i w:val="false"/>
          <w:color w:val="000000"/>
          <w:sz w:val="22"/>
        </w:rPr>
        <w:t>means a centralized database of reportable controlled substance prescriptions dispensed to patients and includes data access logs, security tracking information, and records of each individual who requests prescription monitoring program (PMP) information as operated by the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“Telehealth”</w:t>
      </w:r>
      <w:r>
        <w:rPr>
          <w:rFonts w:ascii="Times New Roman" w:hAnsi="Times New Roman"/>
          <w:b w:val="false"/>
          <w:i w:val="false"/>
          <w:color w:val="000000"/>
          <w:sz w:val="22"/>
        </w:rPr>
        <w:t> </w:t>
      </w:r>
      <w:r>
        <w:rPr>
          <w:rFonts w:ascii="Times New Roman" w:hAnsi="Times New Roman"/>
          <w:b w:val="false"/>
          <w:i w:val="false"/>
          <w:color w:val="000000"/>
          <w:sz w:val="22"/>
        </w:rPr>
        <w:t>means the practice of nursing using electronic audiovisual communications and information technologies or other means, including interactive audio with asynchronous store-and-forward transmission, between a licensee in one location and a patient in another location with or without an intervening health care provider. Telehealth includes asynchronous store-and-forward technologies, remote monitoring, and real-time interactive services, including teleradiology and telepathology. Telehealth, for the purposes of this rule, does not include the provision of nursing services only through an audio-only telephone, email messages, facsimile transmissions, or U.S. mail or other parcel service, or any combination thereof.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481—621.2</w:t>
      </w:r>
      <w:r>
        <w:rPr>
          <w:rFonts w:ascii="Times New Roman" w:hAnsi="Times New Roman"/>
          <w:b/>
          <w:i w:val="false"/>
          <w:color w:val="000000"/>
          <w:sz w:val="22"/>
        </w:rPr>
        <w:t xml:space="preserve">(152) </w:t>
      </w:r>
      <w:r>
        <w:rPr>
          <w:rFonts w:ascii="Times New Roman" w:hAnsi="Times New Roman"/>
          <w:b/>
          <w:i w:val="false"/>
          <w:color w:val="000000"/>
          <w:sz w:val="22"/>
        </w:rPr>
        <w:t xml:space="preserve">Requirements for licensure as an ARNP.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621.2(1)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r>
        <w:rPr>
          <w:rFonts w:ascii="Times New Roman" w:hAnsi="Times New Roman"/>
          <w:b w:val="false"/>
          <w:i w:val="false"/>
          <w:color w:val="000000"/>
          <w:sz w:val="22"/>
        </w:rPr>
        <w:t>An applicant for an ARNP license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Hold an active unrestricted license as a registered nurse in accordance with </w:t>
      </w:r>
      <w:hyperlink r:id="rId8">
        <w:r>
          <w:rPr>
            <w:rStyle w:val="Hyperlink"/>
            <w:rFonts w:ascii="Times New Roman" w:hAnsi="Times New Roman"/>
            <w:b w:val="false"/>
            <w:i w:val="false"/>
            <w:color w:val="000000"/>
            <w:sz w:val="22"/>
          </w:rPr>
          <w:t>481—Chapter 617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Graduate from an accredited graduate or postgraduate advanced practice educational program in one of the following roles, except as provided by subrule </w:t>
      </w:r>
      <w:hyperlink r:id="rId9">
        <w:r>
          <w:rPr>
            <w:rStyle w:val="Hyperlink"/>
            <w:rFonts w:ascii="Times New Roman" w:hAnsi="Times New Roman"/>
            <w:b w:val="false"/>
            <w:i w:val="false"/>
            <w:color w:val="000000"/>
            <w:sz w:val="22"/>
          </w:rPr>
          <w:t>621.2(2)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Certified nurse-midwife.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registered nurse anesthetist.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Clinical nurse 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Hold current certification issued by a national professional certification organization as a certified nurse-midwife or certified registered nurse anesthetist, or as a certified nurse practitioner or clinical nurse specialist in at least one of the following population foci: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Women’s health/gender-related.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Family (individual across the lifespan).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Psychiatric 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Adult/gerontology.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Pediatrics.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Neonatal.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621.2(2)</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 xml:space="preserve">An applicant who has completed a formal advanced practice educational program but has not graduated from an accredited graduate or postgraduate advanced practice educational program may be licensed as an ARNP provided that the applicant possesses a current certification from a national professional certification organization as described in paragraph </w:t>
      </w:r>
      <w:hyperlink r:id="rId10">
        <w:r>
          <w:rPr>
            <w:rStyle w:val="Hyperlink"/>
            <w:rFonts w:ascii="Times New Roman" w:hAnsi="Times New Roman"/>
            <w:b w:val="false"/>
            <w:i w:val="false"/>
            <w:color w:val="000000"/>
            <w:sz w:val="22"/>
          </w:rPr>
          <w:t>621.2(1)</w:t>
        </w:r>
      </w:hyperlink>
      <w:r>
        <w:rPr>
          <w:rFonts w:ascii="Times New Roman" w:hAnsi="Times New Roman"/>
          <w:b w:val="false"/>
          <w:i/>
          <w:color w:val="000000"/>
          <w:sz w:val="22"/>
        </w:rPr>
        <w:t>“c.”</w:t>
      </w:r>
      <w:r>
        <w:rPr>
          <w:rFonts w:ascii="Times New Roman" w:hAnsi="Times New Roman"/>
          <w:b w:val="false"/>
          <w:i w:val="false"/>
          <w:color w:val="000000"/>
          <w:sz w:val="22"/>
        </w:rPr>
        <w:t xml:space="preserve"> This exception is intended to allow for the grandfathering of ARNPs who completed educational programs before the board required graduation from an accredited graduate or postgraduate advanced practice educational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481—621.3</w:t>
      </w:r>
      <w:r>
        <w:rPr>
          <w:rFonts w:ascii="Times New Roman" w:hAnsi="Times New Roman"/>
          <w:b/>
          <w:i w:val="false"/>
          <w:color w:val="000000"/>
          <w:sz w:val="22"/>
        </w:rPr>
        <w:t xml:space="preserve">(17A,147,152)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621.3(1)</w:t>
      </w:r>
      <w:r>
        <w:rPr>
          <w:rFonts w:ascii="Times New Roman" w:hAnsi="Times New Roman"/>
          <w:b w:val="false"/>
          <w:i w:val="false"/>
          <w:color w:val="000000"/>
          <w:sz w:val="22"/>
        </w:rPr>
        <w:t> </w:t>
      </w:r>
      <w:r>
        <w:rPr>
          <w:rFonts w:ascii="Times New Roman" w:hAnsi="Times New Roman"/>
          <w:b w:val="false"/>
          <w:i w:val="false"/>
          <w:color w:val="000000"/>
          <w:sz w:val="22"/>
        </w:rPr>
        <w:t>An applicant shall submit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ARNP application for each population focus.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dated copy of the applicant’s current advanced level certification issued by the appropriate national professional certification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is not licensed as a registered nurse in Iowa, verification of an active registered nurse license in another state recognized for licensure in this state pursuant to the nurse licensure compact contained in Iowa Code chapter </w:t>
      </w:r>
      <w:hyperlink r:id="rId11">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nonrefundable license fee of $81.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621.3(2)</w:t>
      </w:r>
      <w:r>
        <w:rPr>
          <w:rFonts w:ascii="Times New Roman" w:hAnsi="Times New Roman"/>
          <w:b w:val="false"/>
          <w:i w:val="false"/>
          <w:color w:val="000000"/>
          <w:sz w:val="22"/>
        </w:rPr>
        <w:t> </w:t>
      </w:r>
      <w:r>
        <w:rPr>
          <w:rFonts w:ascii="Times New Roman" w:hAnsi="Times New Roman"/>
          <w:b w:val="false"/>
          <w:i w:val="false"/>
          <w:color w:val="000000"/>
          <w:sz w:val="22"/>
        </w:rPr>
        <w:t>The applicant shall request that official transcripts be sent directly to the board from the educational program verifying the coursework, date of completion of the program, and the degree conferred.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621.3(3)</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of the board or the executive director’s designee has the authority to determine if all requirements have been met for licensure of the applicant as an ARNP. If all requirements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will be issued a license and a certificate to practice as an ARNP that clearly denotes the applicant’s name, title, and population focus, and the expiration date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expiration date of the ARNP license will be the same as the expiration date of the applicant’s license to practice as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621.3(4)</w:t>
      </w:r>
      <w:r>
        <w:rPr>
          <w:rFonts w:ascii="Times New Roman" w:hAnsi="Times New Roman"/>
          <w:b w:val="false"/>
          <w:i w:val="false"/>
          <w:color w:val="000000"/>
          <w:sz w:val="22"/>
        </w:rPr>
        <w:t> </w:t>
      </w:r>
      <w:r>
        <w:rPr>
          <w:rFonts w:ascii="Times New Roman" w:hAnsi="Times New Roman"/>
          <w:b w:val="false"/>
          <w:i w:val="false"/>
          <w:color w:val="000000"/>
          <w:sz w:val="22"/>
        </w:rPr>
        <w:t>Licensure completion. An applicant shall complete the ARNP licensure process within 12 months from the start of the application. The board reserves the right to destroy incomplete application materials after 12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621.3(5)</w:t>
      </w:r>
      <w:r>
        <w:rPr>
          <w:rFonts w:ascii="Times New Roman" w:hAnsi="Times New Roman"/>
          <w:b w:val="false"/>
          <w:i w:val="false"/>
          <w:color w:val="000000"/>
          <w:sz w:val="22"/>
        </w:rPr>
        <w:t> </w:t>
      </w:r>
      <w:r>
        <w:rPr>
          <w:rFonts w:ascii="Times New Roman" w:hAnsi="Times New Roman"/>
          <w:b w:val="false"/>
          <w:i w:val="false"/>
          <w:color w:val="000000"/>
          <w:sz w:val="22"/>
        </w:rPr>
        <w:t xml:space="preserve">Renewal of licensure. An ARNP license may be renewed beginning 60 days prior to the license expiration date and ending 30 days after the expiration date. To renew, a licensee shall submit the information required by subrule </w:t>
      </w:r>
      <w:hyperlink r:id="rId12">
        <w:r>
          <w:rPr>
            <w:rStyle w:val="Hyperlink"/>
            <w:rFonts w:ascii="Times New Roman" w:hAnsi="Times New Roman"/>
            <w:b w:val="false"/>
            <w:i w:val="false"/>
            <w:color w:val="000000"/>
            <w:sz w:val="22"/>
          </w:rPr>
          <w:t>621.3(1)</w:t>
        </w:r>
      </w:hyperlink>
      <w:r>
        <w:rPr>
          <w:rFonts w:ascii="Times New Roman" w:hAnsi="Times New Roman"/>
          <w:b w:val="false"/>
          <w:i w:val="false"/>
          <w:color w:val="000000"/>
          <w:sz w:val="22"/>
        </w:rPr>
        <w:t>. The expiration date assigned to a renewed ARNP license is the same as the expiration date of the licensee’s license to practice as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621.3(6)</w:t>
      </w:r>
      <w:r>
        <w:rPr>
          <w:rFonts w:ascii="Times New Roman" w:hAnsi="Times New Roman"/>
          <w:b w:val="false"/>
          <w:i w:val="false"/>
          <w:color w:val="000000"/>
          <w:sz w:val="22"/>
        </w:rPr>
        <w:t> </w:t>
      </w:r>
      <w:r>
        <w:rPr>
          <w:rFonts w:ascii="Times New Roman" w:hAnsi="Times New Roman"/>
          <w:b w:val="false"/>
          <w:i w:val="false"/>
          <w:color w:val="000000"/>
          <w:sz w:val="22"/>
        </w:rPr>
        <w:t>Inactive status. Failure to renew an ARNP license within 30 days after its expiration results in an inactive ARNP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to work as an ARNP with an inactive ARNP license may result in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reactivate the license, the licensee must reactivate the underlying license to practice as a registered nurse, if required, and complete the license renewal process for the ARNP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621.3(7)</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denial. Rule </w:t>
      </w:r>
      <w:hyperlink r:id="rId13">
        <w:r>
          <w:rPr>
            <w:rStyle w:val="Hyperlink"/>
            <w:rFonts w:ascii="Times New Roman" w:hAnsi="Times New Roman"/>
            <w:b w:val="false"/>
            <w:i w:val="false"/>
            <w:color w:val="000000"/>
            <w:sz w:val="22"/>
          </w:rPr>
          <w:t>481—617.9</w:t>
        </w:r>
      </w:hyperlink>
      <w:r>
        <w:rPr>
          <w:rFonts w:ascii="Times New Roman" w:hAnsi="Times New Roman"/>
          <w:b w:val="false"/>
          <w:i w:val="false"/>
          <w:color w:val="000000"/>
          <w:sz w:val="22"/>
        </w:rPr>
        <w:t>(17A,272C) governs the denial of an application for an ARNP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481—621.4</w:t>
      </w:r>
      <w:r>
        <w:rPr>
          <w:rFonts w:ascii="Times New Roman" w:hAnsi="Times New Roman"/>
          <w:b/>
          <w:i w:val="false"/>
          <w:color w:val="000000"/>
          <w:sz w:val="22"/>
        </w:rPr>
        <w:t xml:space="preserve">(17A,147,152) </w:t>
      </w:r>
      <w:r>
        <w:rPr>
          <w:rFonts w:ascii="Times New Roman" w:hAnsi="Times New Roman"/>
          <w:b/>
          <w:i w:val="false"/>
          <w:color w:val="000000"/>
          <w:sz w:val="22"/>
        </w:rPr>
        <w:t xml:space="preserve">Advanced nursing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621.4(1)</w:t>
      </w:r>
      <w:r>
        <w:rPr>
          <w:rFonts w:ascii="Times New Roman" w:hAnsi="Times New Roman"/>
          <w:b w:val="false"/>
          <w:i w:val="false"/>
          <w:color w:val="000000"/>
          <w:sz w:val="22"/>
        </w:rPr>
        <w:t> </w:t>
      </w:r>
      <w:r>
        <w:rPr>
          <w:rFonts w:ascii="Times New Roman" w:hAnsi="Times New Roman"/>
          <w:b w:val="false"/>
          <w:i w:val="false"/>
          <w:color w:val="000000"/>
          <w:sz w:val="22"/>
        </w:rPr>
        <w:t>An ARNP shall practice within the ARNP’s respective population foci and  practice in accordance with the applicable standard of care as described in guidelines published by national professional associations or other reputable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621.4(2)</w:t>
      </w:r>
      <w:r>
        <w:rPr>
          <w:rFonts w:ascii="Times New Roman" w:hAnsi="Times New Roman"/>
          <w:b w:val="false"/>
          <w:i w:val="false"/>
          <w:color w:val="000000"/>
          <w:sz w:val="22"/>
        </w:rPr>
        <w:t> </w:t>
      </w:r>
      <w:r>
        <w:rPr>
          <w:rFonts w:ascii="Times New Roman" w:hAnsi="Times New Roman"/>
          <w:b w:val="false"/>
          <w:i w:val="false"/>
          <w:color w:val="000000"/>
          <w:sz w:val="22"/>
        </w:rPr>
        <w:t>An ARNP must maintain current certification with a national professional certification organization at all times while the ARNP license is 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621.4(3)</w:t>
      </w:r>
      <w:r>
        <w:rPr>
          <w:rFonts w:ascii="Times New Roman" w:hAnsi="Times New Roman"/>
          <w:b w:val="false"/>
          <w:i w:val="false"/>
          <w:color w:val="000000"/>
          <w:sz w:val="22"/>
        </w:rPr>
        <w:t> </w:t>
      </w:r>
      <w:r>
        <w:rPr>
          <w:rFonts w:ascii="Times New Roman" w:hAnsi="Times New Roman"/>
          <w:b w:val="false"/>
          <w:i w:val="false"/>
          <w:color w:val="000000"/>
          <w:sz w:val="22"/>
        </w:rPr>
        <w:t>An ARNP licensed by the board may prescribe, administer, or dispense prescription drugs or devices, including controlled substances, within the ARNP’s role and population foci and consistent with applicable state and federal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621.4(4)</w:t>
      </w:r>
      <w:r>
        <w:rPr>
          <w:rFonts w:ascii="Times New Roman" w:hAnsi="Times New Roman"/>
          <w:b w:val="false"/>
          <w:i w:val="false"/>
          <w:color w:val="000000"/>
          <w:sz w:val="22"/>
        </w:rPr>
        <w:t> </w:t>
      </w:r>
      <w:r>
        <w:rPr>
          <w:rFonts w:ascii="Times New Roman" w:hAnsi="Times New Roman"/>
          <w:b w:val="false"/>
          <w:i w:val="false"/>
          <w:color w:val="000000"/>
          <w:sz w:val="22"/>
        </w:rPr>
        <w:t>An ARNP has the authority to practice to the full extent of the ARNP’s license, education, and experience in the ARNP’s respective population foci. An ARNP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Assess health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Obtain a relevant health and medical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Perform physical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Order preventive and diagnostic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Formulate a differential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Develop a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Develop a patient education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Receive third-party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Maintain hospital privileges;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Promote health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621.4(5)</w:t>
      </w:r>
      <w:r>
        <w:rPr>
          <w:rFonts w:ascii="Times New Roman" w:hAnsi="Times New Roman"/>
          <w:b w:val="false"/>
          <w:i w:val="false"/>
          <w:color w:val="000000"/>
          <w:sz w:val="22"/>
        </w:rPr>
        <w:t> </w:t>
      </w:r>
      <w:r>
        <w:rPr>
          <w:rFonts w:ascii="Times New Roman" w:hAnsi="Times New Roman"/>
          <w:b w:val="false"/>
          <w:i w:val="false"/>
          <w:color w:val="000000"/>
          <w:sz w:val="22"/>
        </w:rPr>
        <w:t xml:space="preserve">Supervision of fluoroscopy. An ARNP is permitted to provide direct supervision in the use of fluoroscopic X-ray equipment, as defined in rule </w:t>
      </w:r>
      <w:hyperlink r:id="rId14">
        <w:r>
          <w:rPr>
            <w:rStyle w:val="Hyperlink"/>
            <w:rFonts w:ascii="Times New Roman" w:hAnsi="Times New Roman"/>
            <w:b w:val="false"/>
            <w:i w:val="false"/>
            <w:color w:val="000000"/>
            <w:sz w:val="22"/>
          </w:rPr>
          <w:t>641—38.2</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ARNP shall provide direct supervision of fluoroscopy pursuant to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Completion of an educational course including content in radiation physics, radiobiology, radiological safety and radiation management applicable to the use of fluoroscopy, and maintenance of documentation verifying successful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Collaboration, as needed, as defined in rule </w:t>
      </w:r>
      <w:hyperlink r:id="rId15">
        <w:r>
          <w:rPr>
            <w:rStyle w:val="Hyperlink"/>
            <w:rFonts w:ascii="Times New Roman" w:hAnsi="Times New Roman"/>
            <w:b w:val="false"/>
            <w:i w:val="false"/>
            <w:color w:val="000000"/>
            <w:sz w:val="22"/>
          </w:rPr>
          <w:t>481—621.1</w:t>
        </w:r>
      </w:hyperlink>
      <w:r>
        <w:rPr>
          <w:rFonts w:ascii="Times New Roman" w:hAnsi="Times New Roman"/>
          <w:b w:val="false"/>
          <w:i w:val="false"/>
          <w:color w:val="000000"/>
          <w:sz w:val="22"/>
        </w:rPr>
        <w:t>(17A,124,147,152).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Compliance with facility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ARNP shall maintain documentation of the initial educational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initial education requirements are subject to audit by the board pursuant to </w:t>
      </w:r>
      <w:hyperlink r:id="rId16">
        <w:r>
          <w:rPr>
            <w:rStyle w:val="Hyperlink"/>
            <w:rFonts w:ascii="Times New Roman" w:hAnsi="Times New Roman"/>
            <w:b w:val="false"/>
            <w:i w:val="false"/>
            <w:color w:val="000000"/>
            <w:sz w:val="22"/>
          </w:rPr>
          <w:t>481—subrule 619.2(10)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621.4(6)</w:t>
      </w:r>
      <w:r>
        <w:rPr>
          <w:rFonts w:ascii="Times New Roman" w:hAnsi="Times New Roman"/>
          <w:b w:val="false"/>
          <w:i w:val="false"/>
          <w:color w:val="000000"/>
          <w:sz w:val="22"/>
        </w:rPr>
        <w:t> </w:t>
      </w:r>
      <w:r>
        <w:rPr>
          <w:rFonts w:ascii="Times New Roman" w:hAnsi="Times New Roman"/>
          <w:b w:val="false"/>
          <w:i w:val="false"/>
          <w:color w:val="000000"/>
          <w:sz w:val="22"/>
        </w:rPr>
        <w:t>Only a person currently licensed as an advanced registered nurse practitioner may use that title and the letters “ARNP” after the person’s name.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481—621.5</w:t>
      </w:r>
      <w:r>
        <w:rPr>
          <w:rFonts w:ascii="Times New Roman" w:hAnsi="Times New Roman"/>
          <w:b/>
          <w:i w:val="false"/>
          <w:color w:val="000000"/>
          <w:sz w:val="22"/>
        </w:rPr>
        <w:t xml:space="preserve">(17A,147,152) </w:t>
      </w:r>
      <w:r>
        <w:rPr>
          <w:rFonts w:ascii="Times New Roman" w:hAnsi="Times New Roman"/>
          <w:b/>
          <w:i w:val="false"/>
          <w:color w:val="000000"/>
          <w:sz w:val="22"/>
        </w:rPr>
        <w:t xml:space="preserve">Standards of practice for treating patients. </w:t>
      </w:r>
      <w:r>
        <w:rPr>
          <w:rFonts w:ascii="Times New Roman" w:hAnsi="Times New Roman"/>
          <w:b w:val="false"/>
          <w:i w:val="false"/>
          <w:color w:val="000000"/>
          <w:sz w:val="22"/>
        </w:rPr>
        <w:t>An ARNP shall follow the standards of practice for the ARNP’s respective population foci. Prior to treating a patient, an ARNP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621.5(1)</w:t>
      </w:r>
      <w:r>
        <w:rPr>
          <w:rFonts w:ascii="Times New Roman" w:hAnsi="Times New Roman"/>
          <w:b w:val="false"/>
          <w:i w:val="false"/>
          <w:color w:val="000000"/>
          <w:sz w:val="22"/>
        </w:rPr>
        <w:t> </w:t>
      </w:r>
      <w:r>
        <w:rPr>
          <w:rFonts w:ascii="Times New Roman" w:hAnsi="Times New Roman"/>
          <w:b w:val="false"/>
          <w:i w:val="false"/>
          <w:color w:val="000000"/>
          <w:sz w:val="22"/>
        </w:rPr>
        <w:t>Establish a patient-provider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621.5(2)</w:t>
      </w:r>
      <w:r>
        <w:rPr>
          <w:rFonts w:ascii="Times New Roman" w:hAnsi="Times New Roman"/>
          <w:b w:val="false"/>
          <w:i w:val="false"/>
          <w:color w:val="000000"/>
          <w:sz w:val="22"/>
        </w:rPr>
        <w:t> </w:t>
      </w:r>
      <w:r>
        <w:rPr>
          <w:rFonts w:ascii="Times New Roman" w:hAnsi="Times New Roman"/>
          <w:b w:val="false"/>
          <w:i w:val="false"/>
          <w:color w:val="000000"/>
          <w:sz w:val="22"/>
        </w:rPr>
        <w:t>Perform and document the following, or have access to the patient’s health records where all of the following have been documented by other providers in the care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Chief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Pertinent health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focused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Diagnosis;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Plan of treatment.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481—621.6</w:t>
      </w:r>
      <w:r>
        <w:rPr>
          <w:rFonts w:ascii="Times New Roman" w:hAnsi="Times New Roman"/>
          <w:b/>
          <w:i w:val="false"/>
          <w:color w:val="000000"/>
          <w:sz w:val="22"/>
        </w:rPr>
        <w:t xml:space="preserve">(17A,124,147,152,272C) </w:t>
      </w:r>
      <w:r>
        <w:rPr>
          <w:rFonts w:ascii="Times New Roman" w:hAnsi="Times New Roman"/>
          <w:b/>
          <w:i w:val="false"/>
          <w:color w:val="000000"/>
          <w:sz w:val="22"/>
        </w:rPr>
        <w:t xml:space="preserve">Standards of practice for controlled substances.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621.6(1)</w:t>
      </w:r>
      <w:r>
        <w:rPr>
          <w:rFonts w:ascii="Times New Roman" w:hAnsi="Times New Roman"/>
          <w:b w:val="false"/>
          <w:i w:val="false"/>
          <w:color w:val="000000"/>
          <w:sz w:val="22"/>
        </w:rPr>
        <w:t> </w:t>
      </w:r>
      <w:r>
        <w:rPr>
          <w:rFonts w:ascii="Times New Roman" w:hAnsi="Times New Roman"/>
          <w:b w:val="false"/>
          <w:i w:val="false"/>
          <w:color w:val="000000"/>
          <w:sz w:val="22"/>
        </w:rPr>
        <w:t>An ARNP who prescribes or administers a controlled substance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health history, including but not limited to a personal and family substance abuse risk assessment, or the documented rationale for not performing the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the health record includes documentation of the presence of one or more recognized indications for the use of a controlled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Utilize a treatment agreement if continuously prescribing one or more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ongoing education of the risks of using a controlled substance, and information regarding addiction, physical dependence, substance abuse, and tolerance, or document the rationale for not providing the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Maintain an active Drug Enforcement Administration (DEA) registration and an active controlled substances Act (CSA) registration to dispense, prescribe, or administer controlled substances, when required by the DEA and the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 prescribe a controlled substance to the ARNP’s self or to a family member unless the prescribing occurs in a clinical setting when an emergency situation arises and when there is no other qualified practitioner available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621.6(2)</w:t>
      </w:r>
      <w:r>
        <w:rPr>
          <w:rFonts w:ascii="Times New Roman" w:hAnsi="Times New Roman"/>
          <w:b w:val="false"/>
          <w:i w:val="false"/>
          <w:color w:val="000000"/>
          <w:sz w:val="22"/>
        </w:rPr>
        <w:t> </w:t>
      </w:r>
      <w:r>
        <w:rPr>
          <w:rFonts w:ascii="Times New Roman" w:hAnsi="Times New Roman"/>
          <w:b w:val="false"/>
          <w:i w:val="false"/>
          <w:color w:val="000000"/>
          <w:sz w:val="22"/>
        </w:rPr>
        <w:t>The board may discipline an ARNP for prescribing opioids in dosage amounts that exceed what would be prescribed by a reasonably prudent ARNP in a similar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621.6(3)</w:t>
      </w:r>
      <w:r>
        <w:rPr>
          <w:rFonts w:ascii="Times New Roman" w:hAnsi="Times New Roman"/>
          <w:b w:val="false"/>
          <w:i w:val="false"/>
          <w:color w:val="000000"/>
          <w:sz w:val="22"/>
        </w:rPr>
        <w:t> </w:t>
      </w:r>
      <w:r>
        <w:rPr>
          <w:rFonts w:ascii="Times New Roman" w:hAnsi="Times New Roman"/>
          <w:b w:val="false"/>
          <w:i w:val="false"/>
          <w:color w:val="000000"/>
          <w:sz w:val="22"/>
        </w:rPr>
        <w:t>An ARNP who has prescribed opioids to a patient during the renewal cycle is required to complete a minimum of two contact hours of continuing education regarding the U.S. Centers for Disease Control and Prevention guideline for prescribing opioids for chronic pain, including recommendations on limitations on dosages and the length of prescriptions, risk factors for abuse, and nonopioid and nonpharmacologic therapy options, as a condition of license renewal every three years. These hours may count towards the 36 contact hours required for license renewal. The ARNP shall maintain documentation of these hours, which may be subject to audit.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481—621.7</w:t>
      </w:r>
      <w:r>
        <w:rPr>
          <w:rFonts w:ascii="Times New Roman" w:hAnsi="Times New Roman"/>
          <w:b/>
          <w:i w:val="false"/>
          <w:color w:val="000000"/>
          <w:sz w:val="22"/>
        </w:rPr>
        <w:t xml:space="preserve">(124) </w:t>
      </w:r>
      <w:r>
        <w:rPr>
          <w:rFonts w:ascii="Times New Roman" w:hAnsi="Times New Roman"/>
          <w:b/>
          <w:i w:val="false"/>
          <w:color w:val="000000"/>
          <w:sz w:val="22"/>
        </w:rPr>
        <w:t xml:space="preserve">Use of the prescription monitoring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621.7(1)</w:t>
      </w:r>
      <w:r>
        <w:rPr>
          <w:rFonts w:ascii="Times New Roman" w:hAnsi="Times New Roman"/>
          <w:b w:val="false"/>
          <w:i w:val="false"/>
          <w:color w:val="000000"/>
          <w:sz w:val="22"/>
        </w:rPr>
        <w:t> </w:t>
      </w:r>
      <w:r>
        <w:rPr>
          <w:rFonts w:ascii="Times New Roman" w:hAnsi="Times New Roman"/>
          <w:b w:val="false"/>
          <w:i w:val="false"/>
          <w:color w:val="000000"/>
          <w:sz w:val="22"/>
        </w:rPr>
        <w:t>Prior to the prescribing or dispensing of an opioid by an ARNP, the ARNP or the ARNP’s authorized delegate shall query the PMP database and the ARNP shall review the patient’s information contained in the PMP database.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621.7(2)</w:t>
      </w:r>
      <w:r>
        <w:rPr>
          <w:rFonts w:ascii="Times New Roman" w:hAnsi="Times New Roman"/>
          <w:b w:val="false"/>
          <w:i w:val="false"/>
          <w:color w:val="000000"/>
          <w:sz w:val="22"/>
        </w:rPr>
        <w:t> </w:t>
      </w:r>
      <w:r>
        <w:rPr>
          <w:rFonts w:ascii="Times New Roman" w:hAnsi="Times New Roman"/>
          <w:b w:val="false"/>
          <w:i w:val="false"/>
          <w:color w:val="000000"/>
          <w:sz w:val="22"/>
        </w:rPr>
        <w:t>This rule does not apply to an ARNP when treating a patient who is receiving inpatient hospice care or long-term residential facility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621.7(3)</w:t>
      </w:r>
      <w:r>
        <w:rPr>
          <w:rFonts w:ascii="Times New Roman" w:hAnsi="Times New Roman"/>
          <w:b w:val="false"/>
          <w:i w:val="false"/>
          <w:color w:val="000000"/>
          <w:sz w:val="22"/>
        </w:rPr>
        <w:t> </w:t>
      </w:r>
      <w:r>
        <w:rPr>
          <w:rFonts w:ascii="Times New Roman" w:hAnsi="Times New Roman"/>
          <w:b w:val="false"/>
          <w:i w:val="false"/>
          <w:color w:val="000000"/>
          <w:sz w:val="22"/>
        </w:rPr>
        <w:t>This rule does not apply to an ARNP who issues a medication order for an opioid to be administered to a patient at a hospital or clinic.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621.7(4)</w:t>
      </w:r>
      <w:r>
        <w:rPr>
          <w:rFonts w:ascii="Times New Roman" w:hAnsi="Times New Roman"/>
          <w:b w:val="false"/>
          <w:i w:val="false"/>
          <w:color w:val="000000"/>
          <w:sz w:val="22"/>
        </w:rPr>
        <w:t> </w:t>
      </w:r>
      <w:r>
        <w:rPr>
          <w:rFonts w:ascii="Times New Roman" w:hAnsi="Times New Roman"/>
          <w:b w:val="false"/>
          <w:i w:val="false"/>
          <w:color w:val="000000"/>
          <w:sz w:val="22"/>
        </w:rPr>
        <w:t xml:space="preserve">An ARNP is responsible for understanding the board of pharmacy’s rules governing use of the prescription monitoring program in </w:t>
      </w:r>
      <w:hyperlink r:id="rId17">
        <w:r>
          <w:rPr>
            <w:rStyle w:val="Hyperlink"/>
            <w:rFonts w:ascii="Times New Roman" w:hAnsi="Times New Roman"/>
            <w:b w:val="false"/>
            <w:i w:val="false"/>
            <w:color w:val="000000"/>
            <w:sz w:val="22"/>
          </w:rPr>
          <w:t>481—Chapter 556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481—621.8</w:t>
      </w:r>
      <w:r>
        <w:rPr>
          <w:rFonts w:ascii="Times New Roman" w:hAnsi="Times New Roman"/>
          <w:b/>
          <w:i w:val="false"/>
          <w:color w:val="000000"/>
          <w:sz w:val="22"/>
        </w:rPr>
        <w:t xml:space="preserve">(152) </w:t>
      </w:r>
      <w:r>
        <w:rPr>
          <w:rFonts w:ascii="Times New Roman" w:hAnsi="Times New Roman"/>
          <w:b/>
          <w:i w:val="false"/>
          <w:color w:val="000000"/>
          <w:sz w:val="22"/>
        </w:rPr>
        <w:t xml:space="preserve">Prescribing epinephrine auto-injectors, bronchodilator canisters, bronchodilator canisters and spacers, or opioid antagonists in the name of a facility or school.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621.8(1)</w:t>
      </w:r>
      <w:r>
        <w:rPr>
          <w:rFonts w:ascii="Times New Roman" w:hAnsi="Times New Roman"/>
          <w:b w:val="false"/>
          <w:i w:val="false"/>
          <w:color w:val="000000"/>
          <w:sz w:val="22"/>
        </w:rPr>
        <w:t> </w:t>
      </w:r>
      <w:r>
        <w:rPr>
          <w:rFonts w:ascii="Times New Roman" w:hAnsi="Times New Roman"/>
          <w:b w:val="false"/>
          <w:i w:val="false"/>
          <w:color w:val="000000"/>
          <w:sz w:val="22"/>
        </w:rPr>
        <w:t xml:space="preserve">An ARNP may issue a prescription for one or more epinephrine auto-injectors in the name of a facility as defined in Iowa Code section </w:t>
      </w:r>
      <w:hyperlink r:id="rId18">
        <w:r>
          <w:rPr>
            <w:rStyle w:val="Hyperlink"/>
            <w:rFonts w:ascii="Times New Roman" w:hAnsi="Times New Roman"/>
            <w:b w:val="false"/>
            <w:i w:val="false"/>
            <w:color w:val="000000"/>
            <w:sz w:val="22"/>
          </w:rPr>
          <w:t>135.185(1)</w:t>
        </w:r>
      </w:hyperlink>
      <w:r>
        <w:rPr>
          <w:rFonts w:ascii="Times New Roman" w:hAnsi="Times New Roman"/>
          <w:b w:val="false"/>
          <w:i w:val="false"/>
          <w:color w:val="000000"/>
          <w:sz w:val="22"/>
        </w:rPr>
        <w:t>, a school district, or an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621.8(2)</w:t>
      </w:r>
      <w:r>
        <w:rPr>
          <w:rFonts w:ascii="Times New Roman" w:hAnsi="Times New Roman"/>
          <w:b w:val="false"/>
          <w:i w:val="false"/>
          <w:color w:val="000000"/>
          <w:sz w:val="22"/>
        </w:rPr>
        <w:t> </w:t>
      </w:r>
      <w:r>
        <w:rPr>
          <w:rFonts w:ascii="Times New Roman" w:hAnsi="Times New Roman"/>
          <w:b w:val="false"/>
          <w:i w:val="false"/>
          <w:color w:val="000000"/>
          <w:sz w:val="22"/>
        </w:rPr>
        <w:t>An ARNP may issue a prescription for one or more bronchodilator canisters or bronchodilator canisters and spacers in the name of a school district or an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621.8(3)</w:t>
      </w:r>
      <w:r>
        <w:rPr>
          <w:rFonts w:ascii="Times New Roman" w:hAnsi="Times New Roman"/>
          <w:b w:val="false"/>
          <w:i w:val="false"/>
          <w:color w:val="000000"/>
          <w:sz w:val="22"/>
        </w:rPr>
        <w:t> </w:t>
      </w:r>
      <w:r>
        <w:rPr>
          <w:rFonts w:ascii="Times New Roman" w:hAnsi="Times New Roman"/>
          <w:b w:val="false"/>
          <w:i w:val="false"/>
          <w:color w:val="000000"/>
          <w:sz w:val="22"/>
        </w:rPr>
        <w:t>An ARNP may issue a prescription for one or more opioid antagonists in the name of a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621.8(4)</w:t>
      </w:r>
      <w:r>
        <w:rPr>
          <w:rFonts w:ascii="Times New Roman" w:hAnsi="Times New Roman"/>
          <w:b w:val="false"/>
          <w:i w:val="false"/>
          <w:color w:val="000000"/>
          <w:sz w:val="22"/>
        </w:rPr>
        <w:t> </w:t>
      </w:r>
      <w:r>
        <w:rPr>
          <w:rFonts w:ascii="Times New Roman" w:hAnsi="Times New Roman"/>
          <w:b w:val="false"/>
          <w:i w:val="false"/>
          <w:color w:val="000000"/>
          <w:sz w:val="22"/>
        </w:rPr>
        <w:t xml:space="preserve">An ARNP who prescribes epinephrine auto-injectors, bronchodilator canisters, bronchodilator canisters and spacers, or opioid antagonists in the name of an authorized facility as defined in Iowa Code section </w:t>
      </w:r>
      <w:hyperlink r:id="rId19">
        <w:r>
          <w:rPr>
            <w:rStyle w:val="Hyperlink"/>
            <w:rFonts w:ascii="Times New Roman" w:hAnsi="Times New Roman"/>
            <w:b w:val="false"/>
            <w:i w:val="false"/>
            <w:color w:val="000000"/>
            <w:sz w:val="22"/>
          </w:rPr>
          <w:t>135.185(1)</w:t>
        </w:r>
      </w:hyperlink>
      <w:r>
        <w:rPr>
          <w:rFonts w:ascii="Times New Roman" w:hAnsi="Times New Roman"/>
          <w:b w:val="false"/>
          <w:i w:val="false"/>
          <w:color w:val="000000"/>
          <w:sz w:val="22"/>
        </w:rPr>
        <w:t xml:space="preserve">, a school district, or an accredited nonpublic school, to be maintained for use pursuant to Iowa Code sections </w:t>
      </w:r>
      <w:hyperlink r:id="rId20">
        <w:r>
          <w:rPr>
            <w:rStyle w:val="Hyperlink"/>
            <w:rFonts w:ascii="Times New Roman" w:hAnsi="Times New Roman"/>
            <w:b w:val="false"/>
            <w:i w:val="false"/>
            <w:color w:val="000000"/>
            <w:sz w:val="22"/>
          </w:rPr>
          <w:t>135.185</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135.190</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280.16</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280.16A</w:t>
        </w:r>
      </w:hyperlink>
      <w:r>
        <w:rPr>
          <w:rFonts w:ascii="Times New Roman" w:hAnsi="Times New Roman"/>
          <w:b w:val="false"/>
          <w:i w:val="false"/>
          <w:color w:val="000000"/>
          <w:sz w:val="22"/>
        </w:rPr>
        <w:t>, provided the ARNP has acted reasonably and in good faith, is not be liable for any injury arising from the provision, administration, or assistance in the administration of an epinephrine auto-injector, bronchodilator canister, bronchodilator canister and spacer, or opioid antagonist.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481—621.9</w:t>
      </w:r>
      <w:r>
        <w:rPr>
          <w:rFonts w:ascii="Times New Roman" w:hAnsi="Times New Roman"/>
          <w:b/>
          <w:i w:val="false"/>
          <w:color w:val="000000"/>
          <w:sz w:val="22"/>
        </w:rPr>
        <w:t xml:space="preserve">(152) </w:t>
      </w:r>
      <w:r>
        <w:rPr>
          <w:rFonts w:ascii="Times New Roman" w:hAnsi="Times New Roman"/>
          <w:b/>
          <w:i w:val="false"/>
          <w:color w:val="000000"/>
          <w:sz w:val="22"/>
        </w:rPr>
        <w:t xml:space="preserve">Standards of practice for telehealth.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621.9(1)</w:t>
      </w:r>
      <w:r>
        <w:rPr>
          <w:rFonts w:ascii="Times New Roman" w:hAnsi="Times New Roman"/>
          <w:b w:val="false"/>
          <w:i w:val="false"/>
          <w:color w:val="000000"/>
          <w:sz w:val="22"/>
        </w:rPr>
        <w:t> </w:t>
      </w:r>
      <w:r>
        <w:rPr>
          <w:rFonts w:ascii="Times New Roman" w:hAnsi="Times New Roman"/>
          <w:b w:val="false"/>
          <w:i/>
          <w:color w:val="000000"/>
          <w:sz w:val="22"/>
        </w:rPr>
        <w:t xml:space="preserve">Telehealth permitted. </w:t>
      </w:r>
      <w:r>
        <w:rPr>
          <w:rFonts w:ascii="Times New Roman" w:hAnsi="Times New Roman"/>
          <w:b w:val="false"/>
          <w:i w:val="false"/>
          <w:color w:val="000000"/>
          <w:sz w:val="22"/>
        </w:rPr>
        <w:t>A licensee may, in accordance with all applicable laws and rules, provide health care services to a patient through telehealth.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621.9(2)</w:t>
      </w:r>
      <w:r>
        <w:rPr>
          <w:rFonts w:ascii="Times New Roman" w:hAnsi="Times New Roman"/>
          <w:b w:val="false"/>
          <w:i w:val="false"/>
          <w:color w:val="000000"/>
          <w:sz w:val="22"/>
        </w:rPr>
        <w:t> </w:t>
      </w:r>
      <w:r>
        <w:rPr>
          <w:rFonts w:ascii="Times New Roman" w:hAnsi="Times New Roman"/>
          <w:b w:val="false"/>
          <w:i/>
          <w:color w:val="000000"/>
          <w:sz w:val="22"/>
        </w:rPr>
        <w:t xml:space="preserve">License required. </w:t>
      </w:r>
      <w:r>
        <w:rPr>
          <w:rFonts w:ascii="Times New Roman" w:hAnsi="Times New Roman"/>
          <w:b w:val="false"/>
          <w:i w:val="false"/>
          <w:color w:val="000000"/>
          <w:sz w:val="22"/>
        </w:rPr>
        <w:t>An advanced registered nurse practitioner who provides services through telehealth to a patient physically located in Iowa must be licensed by the board. A licensee who provides services through telehealth to a patient physically located in another state shall be subject to the laws and jurisdiction of the state where the patient is physically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621.9(3)</w:t>
      </w:r>
      <w:r>
        <w:rPr>
          <w:rFonts w:ascii="Times New Roman" w:hAnsi="Times New Roman"/>
          <w:b w:val="false"/>
          <w:i w:val="false"/>
          <w:color w:val="000000"/>
          <w:sz w:val="22"/>
        </w:rPr>
        <w:t> </w:t>
      </w:r>
      <w:r>
        <w:rPr>
          <w:rFonts w:ascii="Times New Roman" w:hAnsi="Times New Roman"/>
          <w:b w:val="false"/>
          <w:i/>
          <w:color w:val="000000"/>
          <w:sz w:val="22"/>
        </w:rPr>
        <w:t xml:space="preserve">Standard of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provides services through telehealth is held to the same standard of care as is applicable to in-person settings. A licensee shall not perform any service via telehealth unless the same standard of care can be achieved as if the service was performed in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initiating contact with a patient for the purpose of providing services to the patient using telehealth,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Review the patient’s history and all relevant medical records;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Determine as to each unique patient encounter whether the licensee will be able to provide the same standard of care using telehealth as would be provided if the services were provided in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621.9(4)</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A licensee who provides services through telehealth must practice within the licensee’s respective population foci and ensure the services provided are consistent with the licensee’s scope of practice, education, training,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621.9(5)</w:t>
      </w:r>
      <w:r>
        <w:rPr>
          <w:rFonts w:ascii="Times New Roman" w:hAnsi="Times New Roman"/>
          <w:b w:val="false"/>
          <w:i w:val="false"/>
          <w:color w:val="000000"/>
          <w:sz w:val="22"/>
        </w:rPr>
        <w:t> </w:t>
      </w:r>
      <w:r>
        <w:rPr>
          <w:rFonts w:ascii="Times New Roman" w:hAnsi="Times New Roman"/>
          <w:b w:val="false"/>
          <w:i/>
          <w:color w:val="000000"/>
          <w:sz w:val="22"/>
        </w:rPr>
        <w:t xml:space="preserve">Practitioner-patient relationship.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providing services through telehealth, the licensee shall first establish a practitioner-patient relationship. A practitioner-patient relationship is established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with a health-related matter seeks assistance from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licensee agrees to provide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agrees to be treated, or the person’s legal guardian or legal representative agrees to the person’s being treated, by the licensee regardless of whether there has been a previous in-person encounter between the licensee and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practitioner-patient relationship can be established through an in-person encounter, consultation with another licensee or health care provider, or telehealth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paragraphs </w:t>
      </w:r>
      <w:hyperlink r:id="rId24">
        <w:r>
          <w:rPr>
            <w:rStyle w:val="Hyperlink"/>
            <w:rFonts w:ascii="Times New Roman" w:hAnsi="Times New Roman"/>
            <w:b w:val="false"/>
            <w:i w:val="false"/>
            <w:color w:val="000000"/>
            <w:sz w:val="22"/>
          </w:rPr>
          <w:t>621.9(5)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services may be provided through telehealth without first establishing a practitioner-patient relationship in the following settings or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Institutional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Licensed or certified nursing facilities, residential care facilities, intermediate care facilities, assisted living facilities, and hospice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response to an emergency or disaster;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Informal consultations with another health care provider performed by a licensee outside of the context of a contractual relationship, or on an irregular or infrequent basis, without the expectation or exchange of direct or indirect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Episodic consultations by a specialist located in another jurisdiction who provides consultation services upon request to a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substitute licensee acting on behalf and at the designation of an absent licensee or other health care provider in the same specialty on an on-call or cross-coverage basis;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When a sexually transmitted disease has been diagnosed in a patient, a licensee prescribes or dispenses antibiotics to the patient’s named sexual partner(s) for the treatment of the sexually transmitted disease as recommended by the U.S. Centers for Disease Control and Prevention.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621.9(6)</w:t>
      </w:r>
      <w:r>
        <w:rPr>
          <w:rFonts w:ascii="Times New Roman" w:hAnsi="Times New Roman"/>
          <w:b w:val="false"/>
          <w:i w:val="false"/>
          <w:color w:val="000000"/>
          <w:sz w:val="22"/>
        </w:rPr>
        <w:t> </w:t>
      </w:r>
      <w:r>
        <w:rPr>
          <w:rFonts w:ascii="Times New Roman" w:hAnsi="Times New Roman"/>
          <w:b w:val="false"/>
          <w:i/>
          <w:color w:val="000000"/>
          <w:sz w:val="22"/>
        </w:rPr>
        <w:t xml:space="preserve">Consent to telehealth. </w:t>
      </w:r>
      <w:r>
        <w:rPr>
          <w:rFonts w:ascii="Times New Roman" w:hAnsi="Times New Roman"/>
          <w:b w:val="false"/>
          <w:i w:val="false"/>
          <w:color w:val="000000"/>
          <w:sz w:val="22"/>
        </w:rPr>
        <w:t>Prior to providing services via telehealth, the licensee shall obtain consent from the patient, or the patient’s legal guardian or legal representative, to receive services via telehealth.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621.9(7)</w:t>
      </w:r>
      <w:r>
        <w:rPr>
          <w:rFonts w:ascii="Times New Roman" w:hAnsi="Times New Roman"/>
          <w:b w:val="false"/>
          <w:i w:val="false"/>
          <w:color w:val="000000"/>
          <w:sz w:val="22"/>
        </w:rPr>
        <w:t> </w:t>
      </w:r>
      <w:r>
        <w:rPr>
          <w:rFonts w:ascii="Times New Roman" w:hAnsi="Times New Roman"/>
          <w:b w:val="false"/>
          <w:i/>
          <w:color w:val="000000"/>
          <w:sz w:val="22"/>
        </w:rPr>
        <w:t xml:space="preserve">Technology. </w:t>
      </w:r>
      <w:r>
        <w:rPr>
          <w:rFonts w:ascii="Times New Roman" w:hAnsi="Times New Roman"/>
          <w:b w:val="false"/>
          <w:i w:val="false"/>
          <w:color w:val="000000"/>
          <w:sz w:val="22"/>
        </w:rPr>
        <w:t>A licensee providing services through telehealth shall utilize technology that is secure and compliant with the Health Insurance Portability and Accountability Act of 1996, PL 104-191, August 21, 1996, 110 Stat. 1936, and any amendments as of October 30, 2024. The technology must be of sufficient quality, size, resolution, and clarity such that the licensee can safely and effectively provide the telehealth services and abide by the applicable standard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621.9(8)</w:t>
      </w:r>
      <w:r>
        <w:rPr>
          <w:rFonts w:ascii="Times New Roman" w:hAnsi="Times New Roman"/>
          <w:b w:val="false"/>
          <w:i w:val="false"/>
          <w:color w:val="000000"/>
          <w:sz w:val="22"/>
        </w:rPr>
        <w:t> </w:t>
      </w:r>
      <w:r>
        <w:rPr>
          <w:rFonts w:ascii="Times New Roman" w:hAnsi="Times New Roman"/>
          <w:b w:val="false"/>
          <w:i/>
          <w:color w:val="000000"/>
          <w:sz w:val="22"/>
        </w:rPr>
        <w:t xml:space="preserve">Prescriptions. </w:t>
      </w:r>
      <w:r>
        <w:rPr>
          <w:rFonts w:ascii="Times New Roman" w:hAnsi="Times New Roman"/>
          <w:b w:val="false"/>
          <w:i w:val="false"/>
          <w:color w:val="000000"/>
          <w:sz w:val="22"/>
        </w:rPr>
        <w:t>A licensee providing services through telehealth may issue a prescription to a patient as long as the issuance of such prescription is consistent with the standard of care applicable to the in-person setting.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621.9(9)</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A licensee who provides services through telehealth shall maintain a record of the care provided to the patient. Such records shall comply with all applicable laws, rules, standards of care for recordkeeping, confidentiality, and disclosure of a patient’s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621.9(10)</w:t>
      </w:r>
      <w:r>
        <w:rPr>
          <w:rFonts w:ascii="Times New Roman" w:hAnsi="Times New Roman"/>
          <w:b w:val="false"/>
          <w:i w:val="false"/>
          <w:color w:val="000000"/>
          <w:sz w:val="22"/>
        </w:rPr>
        <w:t> </w:t>
      </w:r>
      <w:r>
        <w:rPr>
          <w:rFonts w:ascii="Times New Roman" w:hAnsi="Times New Roman"/>
          <w:b w:val="false"/>
          <w:i/>
          <w:color w:val="000000"/>
          <w:sz w:val="22"/>
        </w:rPr>
        <w:t xml:space="preserve">Follow-up care. </w:t>
      </w:r>
      <w:r>
        <w:rPr>
          <w:rFonts w:ascii="Times New Roman" w:hAnsi="Times New Roman"/>
          <w:b w:val="false"/>
          <w:i w:val="false"/>
          <w:color w:val="000000"/>
          <w:sz w:val="22"/>
        </w:rPr>
        <w:t>A licensee who provides services through telehealth shall refer a patient for follow-up care when required by the standard of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5">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124.551A</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124.552</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147.2</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147.72</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147.74</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147.76</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147.107</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152.1</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152.6</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152.7</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272C.2C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2/11/83, Notice 9/1/82—published 3/2/83, effective 4/6/83]</w:t>
      </w:r>
    </w:p>
    <w:p>
      <w:pPr>
        <w:spacing w:before="0" w:after="0"/>
        <w:ind w:left="120"/>
        <w:jc w:val="center"/>
      </w:pPr>
      <w:r>
        <w:rPr>
          <w:rFonts w:ascii="Times New Roman" w:hAnsi="Times New Roman"/>
          <w:b w:val="false"/>
          <w:i w:val="false"/>
          <w:color w:val="000000"/>
          <w:sz w:val="21"/>
        </w:rPr>
        <w:t>[Filed emergency 3/25/83—published 4/13/83, effective 4/6/83]</w:t>
      </w:r>
    </w:p>
    <w:p>
      <w:pPr>
        <w:spacing w:before="0" w:after="0"/>
        <w:ind w:left="120"/>
        <w:jc w:val="center"/>
      </w:pPr>
      <w:r>
        <w:rPr>
          <w:rFonts w:ascii="Times New Roman" w:hAnsi="Times New Roman"/>
          <w:b w:val="false"/>
          <w:i w:val="false"/>
          <w:color w:val="000000"/>
          <w:sz w:val="21"/>
        </w:rPr>
        <w:t>[Filed 5/18/83, Notice 4/13/83—published 6/8/83, effective 7/13/83]</w:t>
      </w:r>
    </w:p>
    <w:p>
      <w:pPr>
        <w:spacing w:before="0" w:after="0"/>
        <w:ind w:left="120"/>
        <w:jc w:val="center"/>
      </w:pPr>
      <w:r>
        <w:rPr>
          <w:rFonts w:ascii="Times New Roman" w:hAnsi="Times New Roman"/>
          <w:b w:val="false"/>
          <w:i w:val="false"/>
          <w:color w:val="000000"/>
          <w:sz w:val="21"/>
        </w:rPr>
        <w:t>[Filed emergency 5/31/83—published 6/22/83, effective 7/13/83]</w:t>
      </w:r>
    </w:p>
    <w:p>
      <w:pPr>
        <w:spacing w:before="0" w:after="0"/>
        <w:ind w:left="120"/>
        <w:jc w:val="center"/>
      </w:pPr>
      <w:r>
        <w:rPr>
          <w:rFonts w:ascii="Times New Roman" w:hAnsi="Times New Roman"/>
          <w:b w:val="false"/>
          <w:i w:val="false"/>
          <w:color w:val="000000"/>
          <w:sz w:val="21"/>
        </w:rPr>
        <w:t>[Filed 7/29/83, Notice 5/11/83—published 8/17/83, effective 9/21/83]</w:t>
      </w:r>
    </w:p>
    <w:p>
      <w:pPr>
        <w:spacing w:before="0" w:after="0"/>
        <w:ind w:left="120"/>
        <w:jc w:val="center"/>
      </w:pPr>
      <w:r>
        <w:rPr>
          <w:rFonts w:ascii="Times New Roman" w:hAnsi="Times New Roman"/>
          <w:b w:val="false"/>
          <w:i w:val="false"/>
          <w:color w:val="000000"/>
          <w:sz w:val="21"/>
        </w:rPr>
        <w:t>[Filed 4/20/84, Notice 2/29/84—published 5/9/84, effective 6/13/84]</w:t>
      </w:r>
    </w:p>
    <w:p>
      <w:pPr>
        <w:spacing w:before="0" w:after="0"/>
        <w:ind w:left="120"/>
        <w:jc w:val="center"/>
      </w:pPr>
      <w:r>
        <w:rPr>
          <w:rFonts w:ascii="Times New Roman" w:hAnsi="Times New Roman"/>
          <w:b w:val="false"/>
          <w:i w:val="false"/>
          <w:color w:val="000000"/>
          <w:sz w:val="21"/>
        </w:rPr>
        <w:t>[Filed 7/26/84, Notice 6/20/84—published 8/15/84, effective 9/19/84]</w:t>
      </w:r>
    </w:p>
    <w:p>
      <w:pPr>
        <w:spacing w:before="0" w:after="0"/>
        <w:ind w:left="120"/>
        <w:jc w:val="center"/>
      </w:pPr>
      <w:r>
        <w:rPr>
          <w:rFonts w:ascii="Times New Roman" w:hAnsi="Times New Roman"/>
          <w:b w:val="false"/>
          <w:i w:val="false"/>
          <w:color w:val="000000"/>
          <w:sz w:val="21"/>
        </w:rPr>
        <w:t>[Filed 10/17/84, Notice 8/29/84—published 11/7/84, effective 12/12/84]</w:t>
      </w:r>
    </w:p>
    <w:p>
      <w:pPr>
        <w:spacing w:before="0" w:after="0"/>
        <w:ind w:left="120"/>
        <w:jc w:val="center"/>
      </w:pPr>
      <w:r>
        <w:rPr>
          <w:rFonts w:ascii="Times New Roman" w:hAnsi="Times New Roman"/>
          <w:b w:val="false"/>
          <w:i w:val="false"/>
          <w:color w:val="000000"/>
          <w:sz w:val="21"/>
        </w:rPr>
        <w:t>[Filed 12/8/86, Notice 10/22/86—published 12/31/86, effective 2/4/87]</w:t>
      </w:r>
    </w:p>
    <w:p>
      <w:pPr>
        <w:spacing w:before="0" w:after="0"/>
        <w:ind w:left="120"/>
        <w:jc w:val="center"/>
      </w:pPr>
      <w:r>
        <w:rPr>
          <w:rFonts w:ascii="Times New Roman" w:hAnsi="Times New Roman"/>
          <w:b w:val="false"/>
          <w:i w:val="false"/>
          <w:color w:val="000000"/>
          <w:sz w:val="21"/>
        </w:rPr>
        <w:t>[Filed emergency 7/29/87—published 8/26/87, effective 7/29/87]</w:t>
      </w:r>
    </w:p>
    <w:p>
      <w:pPr>
        <w:spacing w:before="0" w:after="0"/>
        <w:ind w:left="120"/>
        <w:jc w:val="center"/>
      </w:pPr>
      <w:r>
        <w:rPr>
          <w:rFonts w:ascii="Times New Roman" w:hAnsi="Times New Roman"/>
          <w:b w:val="false"/>
          <w:i w:val="false"/>
          <w:color w:val="000000"/>
          <w:sz w:val="21"/>
        </w:rPr>
        <w:t>[Filed 7/7/89, Notice 4/5/89—published 7/26/89, effective 8/30/89]</w:t>
      </w:r>
    </w:p>
    <w:p>
      <w:pPr>
        <w:spacing w:before="0" w:after="0"/>
        <w:ind w:left="120"/>
        <w:jc w:val="center"/>
      </w:pPr>
      <w:r>
        <w:rPr>
          <w:rFonts w:ascii="Times New Roman" w:hAnsi="Times New Roman"/>
          <w:b w:val="false"/>
          <w:i w:val="false"/>
          <w:color w:val="000000"/>
          <w:sz w:val="21"/>
        </w:rPr>
        <w:t>[Filed 3/12/91, Notice 1/9/91—published 4/3/91, effective 5/8/91]</w:t>
      </w:r>
    </w:p>
    <w:p>
      <w:pPr>
        <w:spacing w:before="0" w:after="0"/>
        <w:ind w:left="120"/>
        <w:jc w:val="center"/>
      </w:pPr>
      <w:r>
        <w:rPr>
          <w:rFonts w:ascii="Times New Roman" w:hAnsi="Times New Roman"/>
          <w:b w:val="false"/>
          <w:i w:val="false"/>
          <w:color w:val="000000"/>
          <w:sz w:val="21"/>
        </w:rPr>
        <w:t>[Filed emergency 2/20/92—published 3/18/92, effective 2/20/92]</w:t>
      </w:r>
    </w:p>
    <w:p>
      <w:pPr>
        <w:spacing w:before="0" w:after="0"/>
        <w:ind w:left="120"/>
        <w:jc w:val="center"/>
      </w:pPr>
      <w:r>
        <w:rPr>
          <w:rFonts w:ascii="Times New Roman" w:hAnsi="Times New Roman"/>
          <w:b w:val="false"/>
          <w:i w:val="false"/>
          <w:color w:val="000000"/>
          <w:sz w:val="21"/>
        </w:rPr>
        <w:t>[Filed 12/9/92, Notice 10/14/92—published 1/6/93, effective 2/10/93]</w:t>
      </w:r>
    </w:p>
    <w:p>
      <w:pPr>
        <w:spacing w:before="0" w:after="0"/>
        <w:ind w:left="120"/>
        <w:jc w:val="center"/>
      </w:pPr>
      <w:r>
        <w:rPr>
          <w:rFonts w:ascii="Times New Roman" w:hAnsi="Times New Roman"/>
          <w:b w:val="false"/>
          <w:i w:val="false"/>
          <w:color w:val="000000"/>
          <w:sz w:val="21"/>
        </w:rPr>
        <w:t>[Filed emergency 1/14/93—published 2/3/93, effective 2/10/93]</w:t>
      </w:r>
    </w:p>
    <w:p>
      <w:pPr>
        <w:spacing w:before="0" w:after="0"/>
        <w:ind w:left="120"/>
        <w:jc w:val="center"/>
      </w:pPr>
      <w:r>
        <w:rPr>
          <w:rFonts w:ascii="Times New Roman" w:hAnsi="Times New Roman"/>
          <w:b w:val="false"/>
          <w:i w:val="false"/>
          <w:color w:val="000000"/>
          <w:sz w:val="21"/>
        </w:rPr>
        <w:t>[Filed emergency 2/10/93 after Notice 1/6/93—published 3/3/93, effective 2/10/93]</w:t>
      </w:r>
    </w:p>
    <w:p>
      <w:pPr>
        <w:spacing w:before="0" w:after="0"/>
        <w:ind w:left="120"/>
        <w:jc w:val="center"/>
      </w:pPr>
      <w:r>
        <w:rPr>
          <w:rFonts w:ascii="Times New Roman" w:hAnsi="Times New Roman"/>
          <w:b w:val="false"/>
          <w:i w:val="false"/>
          <w:color w:val="000000"/>
          <w:sz w:val="21"/>
        </w:rPr>
        <w:t>[Filed 11/16/94, Notice 7/6/94—published 12/7/94, effective 1/11/95]</w:t>
      </w:r>
    </w:p>
    <w:p>
      <w:pPr>
        <w:spacing w:before="0" w:after="0"/>
        <w:ind w:left="120"/>
        <w:jc w:val="center"/>
      </w:pPr>
      <w:r>
        <w:rPr>
          <w:rFonts w:ascii="Times New Roman" w:hAnsi="Times New Roman"/>
          <w:b w:val="false"/>
          <w:i w:val="false"/>
          <w:color w:val="000000"/>
          <w:sz w:val="21"/>
        </w:rPr>
        <w:t>[Filed 12/19/97, Notice 10/22/97—published 1/14/98, effective 2/18/98]</w:t>
      </w:r>
    </w:p>
    <w:p>
      <w:pPr>
        <w:spacing w:before="0" w:after="0"/>
        <w:ind w:left="120"/>
        <w:jc w:val="center"/>
      </w:pPr>
      <w:r>
        <w:rPr>
          <w:rFonts w:ascii="Times New Roman" w:hAnsi="Times New Roman"/>
          <w:b w:val="false"/>
          <w:i w:val="false"/>
          <w:color w:val="000000"/>
          <w:sz w:val="21"/>
        </w:rPr>
        <w:t>[Filed 9/28/99, Notice 8/25/99—published 10/20/99, effective 11/24/99]</w:t>
      </w:r>
    </w:p>
    <w:p>
      <w:pPr>
        <w:spacing w:before="0" w:after="0"/>
        <w:ind w:left="120"/>
        <w:jc w:val="center"/>
      </w:pPr>
      <w:r>
        <w:rPr>
          <w:rFonts w:ascii="Times New Roman" w:hAnsi="Times New Roman"/>
          <w:b w:val="false"/>
          <w:i w:val="false"/>
          <w:color w:val="000000"/>
          <w:sz w:val="21"/>
        </w:rPr>
        <w:t>[Filed 12/10/99, Notice 10/6/99—published 12/29/99, effective 2/2/00]</w:t>
      </w:r>
    </w:p>
    <w:p>
      <w:pPr>
        <w:spacing w:before="0" w:after="0"/>
        <w:ind w:left="120"/>
        <w:jc w:val="center"/>
      </w:pPr>
      <w:r>
        <w:rPr>
          <w:rFonts w:ascii="Times New Roman" w:hAnsi="Times New Roman"/>
          <w:b w:val="false"/>
          <w:i w:val="false"/>
          <w:color w:val="000000"/>
          <w:sz w:val="21"/>
        </w:rPr>
        <w:t>[Filed emergency 6/9/00—published 6/28/00, effective 6/30/00]</w:t>
      </w:r>
    </w:p>
    <w:p>
      <w:pPr>
        <w:spacing w:before="0" w:after="0"/>
        <w:ind w:left="120"/>
        <w:jc w:val="center"/>
      </w:pPr>
      <w:r>
        <w:rPr>
          <w:rFonts w:ascii="Times New Roman" w:hAnsi="Times New Roman"/>
          <w:b w:val="false"/>
          <w:i w:val="false"/>
          <w:color w:val="000000"/>
          <w:sz w:val="21"/>
        </w:rPr>
        <w:t>[Filed 9/15/00, Notice 6/28/00—published 10/4/00, effective 11/8/00]</w:t>
      </w:r>
    </w:p>
    <w:p>
      <w:pPr>
        <w:spacing w:before="0" w:after="0"/>
        <w:ind w:left="120"/>
        <w:jc w:val="center"/>
      </w:pPr>
      <w:r>
        <w:rPr>
          <w:rFonts w:ascii="Times New Roman" w:hAnsi="Times New Roman"/>
          <w:b w:val="false"/>
          <w:i w:val="false"/>
          <w:color w:val="000000"/>
          <w:sz w:val="21"/>
        </w:rPr>
        <w:t>[Filed emergency 3/2/01—published 3/21/01, effective 3/2/01]</w:t>
      </w:r>
    </w:p>
    <w:p>
      <w:pPr>
        <w:spacing w:before="0" w:after="0"/>
        <w:ind w:left="120"/>
        <w:jc w:val="center"/>
      </w:pPr>
      <w:r>
        <w:rPr>
          <w:rFonts w:ascii="Times New Roman" w:hAnsi="Times New Roman"/>
          <w:b w:val="false"/>
          <w:i w:val="false"/>
          <w:color w:val="000000"/>
          <w:sz w:val="21"/>
        </w:rPr>
        <w:t>[Filed 9/28/01, Notice 6/27/01—published 10/17/01, effective 11/21/01]</w:t>
      </w:r>
    </w:p>
    <w:p>
      <w:pPr>
        <w:spacing w:before="0" w:after="0"/>
        <w:ind w:left="120"/>
        <w:jc w:val="center"/>
      </w:pPr>
      <w:r>
        <w:rPr>
          <w:rFonts w:ascii="Times New Roman" w:hAnsi="Times New Roman"/>
          <w:b w:val="false"/>
          <w:i w:val="false"/>
          <w:color w:val="000000"/>
          <w:sz w:val="21"/>
        </w:rPr>
        <w:t>[Filed ARC 7888B</w:t>
      </w:r>
      <w:r>
        <w:rPr>
          <w:rFonts w:ascii="Times New Roman" w:hAnsi="Times New Roman"/>
          <w:b w:val="false"/>
          <w:i w:val="false"/>
          <w:color w:val="000000"/>
          <w:sz w:val="21"/>
        </w:rPr>
        <w:t xml:space="preserve"> (Notice ARC 7714B, IAB 4/22/09)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2502C</w:t>
      </w:r>
      <w:r>
        <w:rPr>
          <w:rFonts w:ascii="Times New Roman" w:hAnsi="Times New Roman"/>
          <w:b w:val="false"/>
          <w:i w:val="false"/>
          <w:color w:val="000000"/>
          <w:sz w:val="21"/>
        </w:rPr>
        <w:t xml:space="preserve"> (Notice ARC 2345C, IAB 1/6/16)</w:t>
      </w:r>
      <w:r>
        <w:rPr>
          <w:rFonts w:ascii="Times New Roman" w:hAnsi="Times New Roman"/>
          <w:b w:val="false"/>
          <w:i w:val="false"/>
          <w:color w:val="000000"/>
          <w:sz w:val="21"/>
        </w:rPr>
        <w:t>, IAB 4/27/16, effective 6/1/16]</w:t>
      </w:r>
    </w:p>
    <w:p>
      <w:pPr>
        <w:spacing w:before="0" w:after="0"/>
        <w:ind w:left="120"/>
        <w:jc w:val="center"/>
      </w:pPr>
      <w:r>
        <w:rPr>
          <w:rFonts w:ascii="Times New Roman" w:hAnsi="Times New Roman"/>
          <w:b w:val="false"/>
          <w:i w:val="false"/>
          <w:color w:val="000000"/>
          <w:sz w:val="21"/>
        </w:rPr>
        <w:t>[Filed ARC 4308C</w:t>
      </w:r>
      <w:r>
        <w:rPr>
          <w:rFonts w:ascii="Times New Roman" w:hAnsi="Times New Roman"/>
          <w:b w:val="false"/>
          <w:i w:val="false"/>
          <w:color w:val="000000"/>
          <w:sz w:val="21"/>
        </w:rPr>
        <w:t xml:space="preserve"> (Notice ARC 4132C, IAB 11/21/18)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6317C</w:t>
      </w:r>
      <w:r>
        <w:rPr>
          <w:rFonts w:ascii="Times New Roman" w:hAnsi="Times New Roman"/>
          <w:b w:val="false"/>
          <w:i w:val="false"/>
          <w:color w:val="000000"/>
          <w:sz w:val="21"/>
        </w:rPr>
        <w:t xml:space="preserve"> (Notice ARC 6205C, IAB 2/23/22)</w:t>
      </w:r>
      <w:r>
        <w:rPr>
          <w:rFonts w:ascii="Times New Roman" w:hAnsi="Times New Roman"/>
          <w:b w:val="false"/>
          <w:i w:val="false"/>
          <w:color w:val="000000"/>
          <w:sz w:val="21"/>
        </w:rPr>
        <w:t>, IAB 5/18/22, effective 6/22/22]</w:t>
      </w:r>
    </w:p>
    <w:p>
      <w:pPr>
        <w:spacing w:before="0" w:after="0"/>
        <w:ind w:left="120"/>
        <w:jc w:val="center"/>
      </w:pPr>
      <w:r>
        <w:rPr>
          <w:rFonts w:ascii="Times New Roman" w:hAnsi="Times New Roman"/>
          <w:b w:val="false"/>
          <w:i w:val="false"/>
          <w:color w:val="000000"/>
          <w:sz w:val="21"/>
        </w:rPr>
        <w:t>[Filed ARC 6950C</w:t>
      </w:r>
      <w:r>
        <w:rPr>
          <w:rFonts w:ascii="Times New Roman" w:hAnsi="Times New Roman"/>
          <w:b w:val="false"/>
          <w:i w:val="false"/>
          <w:color w:val="000000"/>
          <w:sz w:val="21"/>
        </w:rPr>
        <w:t xml:space="preserve"> (Notice ARC 6697C, IAB 11/30/22)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9164C</w:t>
      </w:r>
      <w:r>
        <w:rPr>
          <w:rFonts w:ascii="Times New Roman" w:hAnsi="Times New Roman"/>
          <w:b w:val="false"/>
          <w:i w:val="false"/>
          <w:color w:val="000000"/>
          <w:sz w:val="21"/>
        </w:rPr>
        <w:t xml:space="preserve"> (Notice ARC 8793C, IAB 1/22/25)</w:t>
      </w:r>
      <w:r>
        <w:rPr>
          <w:rFonts w:ascii="Times New Roman" w:hAnsi="Times New Roman"/>
          <w:b w:val="false"/>
          <w:i w:val="false"/>
          <w:color w:val="000000"/>
          <w:sz w:val="21"/>
        </w:rPr>
        <w:t>, IAB 4/30/25, effective 6/4/25]</w:t>
      </w:r>
    </w:p>
    <w:p>
      <w:pPr>
        <w:spacing w:before="0" w:after="0"/>
        <w:ind w:left="120"/>
        <w:jc w:val="center"/>
      </w:pPr>
      <w:r>
        <w:rPr>
          <w:rFonts w:ascii="Times New Roman" w:hAnsi="Times New Roman"/>
          <w:b w:val="false"/>
          <w:i w:val="false"/>
          <w:color w:val="000000"/>
          <w:sz w:val="21"/>
        </w:rPr>
        <w:t>[Editorial change: IAC Supplement 6/11/25]</w:t>
      </w:r>
    </w:p>
    <w:sectPr>
      <w:footerReference r:id="rId4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2.pdf" Type="http://schemas.openxmlformats.org/officeDocument/2006/relationships/hyperlink" Id="rId5"/>
    <Relationship TargetMode="External" Target="https://www.legis.iowa.gov/docs/ico/chapter/152E.pdf" Type="http://schemas.openxmlformats.org/officeDocument/2006/relationships/hyperlink" Id="rId6"/>
    <Relationship TargetMode="External" Target="https://www.legis.iowa.gov/docs/ico/chapter/124.pdf" Type="http://schemas.openxmlformats.org/officeDocument/2006/relationships/hyperlink" Id="rId7"/>
    <Relationship TargetMode="External" Target="https://www.legis.iowa.gov/docs/iac/chapter/481.617.pdf" Type="http://schemas.openxmlformats.org/officeDocument/2006/relationships/hyperlink" Id="rId8"/>
    <Relationship TargetMode="External" Target="https://www.legis.iowa.gov/docs/iac/rule/655.621.2.pdf" Type="http://schemas.openxmlformats.org/officeDocument/2006/relationships/hyperlink" Id="rId9"/>
    <Relationship TargetMode="External" Target="https://www.legis.iowa.gov/docs/iac/rule/655.621.2.pdf" Type="http://schemas.openxmlformats.org/officeDocument/2006/relationships/hyperlink" Id="rId10"/>
    <Relationship TargetMode="External" Target="https://www.legis.iowa.gov/docs/ico/chapter/152E.pdf" Type="http://schemas.openxmlformats.org/officeDocument/2006/relationships/hyperlink" Id="rId11"/>
    <Relationship TargetMode="External" Target="https://www.legis.iowa.gov/docs/iac/rule/655.621.3.pdf" Type="http://schemas.openxmlformats.org/officeDocument/2006/relationships/hyperlink" Id="rId12"/>
    <Relationship TargetMode="External" Target="https://www.legis.iowa.gov/docs/iac/rule/481.617.9.pdf" Type="http://schemas.openxmlformats.org/officeDocument/2006/relationships/hyperlink" Id="rId13"/>
    <Relationship TargetMode="External" Target="https://www.legis.iowa.gov/docs/iac/rule/641.38.2.pdf" Type="http://schemas.openxmlformats.org/officeDocument/2006/relationships/hyperlink" Id="rId14"/>
    <Relationship TargetMode="External" Target="https://www.legis.iowa.gov/docs/iac/rule/481.621.1.pdf" Type="http://schemas.openxmlformats.org/officeDocument/2006/relationships/hyperlink" Id="rId15"/>
    <Relationship TargetMode="External" Target="https://www.legis.iowa.gov/docs/iac/rule/481.619.2.pdf" Type="http://schemas.openxmlformats.org/officeDocument/2006/relationships/hyperlink" Id="rId16"/>
    <Relationship TargetMode="External" Target="https://www.legis.iowa.gov/docs/iac/chapter/481.556.pdf" Type="http://schemas.openxmlformats.org/officeDocument/2006/relationships/hyperlink" Id="rId17"/>
    <Relationship TargetMode="External" Target="https://www.legis.iowa.gov/docs/ico/chapter/135.185.pdf" Type="http://schemas.openxmlformats.org/officeDocument/2006/relationships/hyperlink" Id="rId18"/>
    <Relationship TargetMode="External" Target="https://www.legis.iowa.gov/docs/ico/chapter/135.185.pdf" Type="http://schemas.openxmlformats.org/officeDocument/2006/relationships/hyperlink" Id="rId19"/>
    <Relationship TargetMode="External" Target="https://www.legis.iowa.gov/docs/ico/chapter/135.185.pdf" Type="http://schemas.openxmlformats.org/officeDocument/2006/relationships/hyperlink" Id="rId20"/>
    <Relationship TargetMode="External" Target="https://www.legis.iowa.gov/docs/ico/chapter/135.190.pdf" Type="http://schemas.openxmlformats.org/officeDocument/2006/relationships/hyperlink" Id="rId21"/>
    <Relationship TargetMode="External" Target="https://www.legis.iowa.gov/docs/ico/chapter/280.16.pdf" Type="http://schemas.openxmlformats.org/officeDocument/2006/relationships/hyperlink" Id="rId22"/>
    <Relationship TargetMode="External" Target="https://www.legis.iowa.gov/docs/ico/chapter/280.16A.pdf" Type="http://schemas.openxmlformats.org/officeDocument/2006/relationships/hyperlink" Id="rId23"/>
    <Relationship TargetMode="External" Target="https://www.legis.iowa.gov/docs/iac/rule/655.621.9.pdf" Type="http://schemas.openxmlformats.org/officeDocument/2006/relationships/hyperlink" Id="rId24"/>
    <Relationship TargetMode="External" Target="https://www.legis.iowa.gov/docs/ico/chapter/17A.3.pdf" Type="http://schemas.openxmlformats.org/officeDocument/2006/relationships/hyperlink" Id="rId25"/>
    <Relationship TargetMode="External" Target="https://www.legis.iowa.gov/docs/ico/chapter/124.551A.pdf" Type="http://schemas.openxmlformats.org/officeDocument/2006/relationships/hyperlink" Id="rId26"/>
    <Relationship TargetMode="External" Target="https://www.legis.iowa.gov/docs/ico/chapter/124.552.pdf" Type="http://schemas.openxmlformats.org/officeDocument/2006/relationships/hyperlink" Id="rId27"/>
    <Relationship TargetMode="External" Target="https://www.legis.iowa.gov/docs/ico/chapter/147.2.pdf" Type="http://schemas.openxmlformats.org/officeDocument/2006/relationships/hyperlink" Id="rId28"/>
    <Relationship TargetMode="External" Target="https://www.legis.iowa.gov/docs/ico/chapter/147.10.pdf" Type="http://schemas.openxmlformats.org/officeDocument/2006/relationships/hyperlink" Id="rId29"/>
    <Relationship TargetMode="External" Target="https://www.legis.iowa.gov/docs/ico/chapter/147.11.pdf" Type="http://schemas.openxmlformats.org/officeDocument/2006/relationships/hyperlink" Id="rId30"/>
    <Relationship TargetMode="External" Target="https://www.legis.iowa.gov/docs/ico/chapter/147.72.pdf" Type="http://schemas.openxmlformats.org/officeDocument/2006/relationships/hyperlink" Id="rId31"/>
    <Relationship TargetMode="External" Target="https://www.legis.iowa.gov/docs/ico/chapter/147.74.pdf" Type="http://schemas.openxmlformats.org/officeDocument/2006/relationships/hyperlink" Id="rId32"/>
    <Relationship TargetMode="External" Target="https://www.legis.iowa.gov/docs/ico/chapter/147.76.pdf" Type="http://schemas.openxmlformats.org/officeDocument/2006/relationships/hyperlink" Id="rId33"/>
    <Relationship TargetMode="External" Target="https://www.legis.iowa.gov/docs/ico/chapter/147.80.pdf" Type="http://schemas.openxmlformats.org/officeDocument/2006/relationships/hyperlink" Id="rId34"/>
    <Relationship TargetMode="External" Target="https://www.legis.iowa.gov/docs/ico/chapter/147.107.pdf" Type="http://schemas.openxmlformats.org/officeDocument/2006/relationships/hyperlink" Id="rId35"/>
    <Relationship TargetMode="External" Target="https://www.legis.iowa.gov/docs/ico/chapter/152.1.pdf" Type="http://schemas.openxmlformats.org/officeDocument/2006/relationships/hyperlink" Id="rId36"/>
    <Relationship TargetMode="External" Target="https://www.legis.iowa.gov/docs/ico/chapter/152.6.pdf" Type="http://schemas.openxmlformats.org/officeDocument/2006/relationships/hyperlink" Id="rId37"/>
    <Relationship TargetMode="External" Target="https://www.legis.iowa.gov/docs/ico/chapter/152.7.pdf" Type="http://schemas.openxmlformats.org/officeDocument/2006/relationships/hyperlink" Id="rId38"/>
    <Relationship TargetMode="External" Target="https://www.legis.iowa.gov/docs/ico/chapter/272C.2C.pdf" Type="http://schemas.openxmlformats.org/officeDocument/2006/relationships/hyperlink" Id="rId39"/>
    <Relationship Target="footer.xml" Type="http://schemas.openxmlformats.org/officeDocument/2006/relationships/footer"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